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EB0" w14:textId="0979B27F" w:rsidR="00737BA2" w:rsidRDefault="00737BA2" w:rsidP="006A4B78">
      <w:r w:rsidRPr="00A5573F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1707E1C" wp14:editId="4FF27051">
            <wp:simplePos x="0" y="0"/>
            <wp:positionH relativeFrom="column">
              <wp:posOffset>-766117</wp:posOffset>
            </wp:positionH>
            <wp:positionV relativeFrom="paragraph">
              <wp:posOffset>196</wp:posOffset>
            </wp:positionV>
            <wp:extent cx="3869264" cy="2056668"/>
            <wp:effectExtent l="0" t="0" r="4445" b="1270"/>
            <wp:wrapThrough wrapText="bothSides">
              <wp:wrapPolygon edited="0">
                <wp:start x="0" y="0"/>
                <wp:lineTo x="0" y="21480"/>
                <wp:lineTo x="21554" y="21480"/>
                <wp:lineTo x="21554" y="0"/>
                <wp:lineTo x="0" y="0"/>
              </wp:wrapPolygon>
            </wp:wrapThrough>
            <wp:docPr id="3" name="Grafik 3" descr="Bibliothèque de musicologie | État de Fri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hèque de musicologie | État de Fribou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85" cy="206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D1E7" w14:textId="77777777" w:rsidR="00737BA2" w:rsidRPr="0052370F" w:rsidRDefault="00737BA2" w:rsidP="00737BA2"/>
    <w:p w14:paraId="40C60BC6" w14:textId="77777777" w:rsidR="00737BA2" w:rsidRDefault="00737BA2" w:rsidP="00737BA2">
      <w:pPr>
        <w:pStyle w:val="Titel"/>
        <w:jc w:val="center"/>
      </w:pPr>
    </w:p>
    <w:p w14:paraId="20FBFDB3" w14:textId="7E4092F1" w:rsidR="00737BA2" w:rsidRDefault="00737BA2" w:rsidP="00737BA2">
      <w:pPr>
        <w:jc w:val="center"/>
        <w:rPr>
          <w:sz w:val="32"/>
          <w:szCs w:val="32"/>
        </w:rPr>
      </w:pPr>
    </w:p>
    <w:p w14:paraId="0E521C5E" w14:textId="7F16FC84" w:rsidR="00737BA2" w:rsidRDefault="00737BA2" w:rsidP="00737BA2">
      <w:pPr>
        <w:jc w:val="center"/>
        <w:rPr>
          <w:sz w:val="32"/>
          <w:szCs w:val="32"/>
        </w:rPr>
      </w:pPr>
    </w:p>
    <w:p w14:paraId="2FE240E6" w14:textId="4EE4B51E" w:rsidR="00737BA2" w:rsidRDefault="00737BA2" w:rsidP="00737BA2">
      <w:pPr>
        <w:jc w:val="center"/>
        <w:rPr>
          <w:sz w:val="32"/>
          <w:szCs w:val="32"/>
        </w:rPr>
      </w:pPr>
    </w:p>
    <w:p w14:paraId="3705231B" w14:textId="5B20892A" w:rsidR="00737BA2" w:rsidRDefault="00737BA2" w:rsidP="00737BA2">
      <w:pPr>
        <w:jc w:val="center"/>
        <w:rPr>
          <w:sz w:val="32"/>
          <w:szCs w:val="32"/>
        </w:rPr>
      </w:pPr>
    </w:p>
    <w:p w14:paraId="0A3AFF9B" w14:textId="146C8DA4" w:rsidR="00737BA2" w:rsidRDefault="00737BA2" w:rsidP="00737BA2">
      <w:pPr>
        <w:jc w:val="center"/>
        <w:rPr>
          <w:sz w:val="32"/>
          <w:szCs w:val="32"/>
        </w:rPr>
      </w:pPr>
    </w:p>
    <w:p w14:paraId="23828620" w14:textId="61604048" w:rsidR="00737BA2" w:rsidRDefault="00737BA2" w:rsidP="00737BA2">
      <w:pPr>
        <w:jc w:val="center"/>
        <w:rPr>
          <w:sz w:val="32"/>
          <w:szCs w:val="32"/>
        </w:rPr>
      </w:pPr>
    </w:p>
    <w:p w14:paraId="448EEF03" w14:textId="77777777" w:rsidR="00737BA2" w:rsidRDefault="00737BA2" w:rsidP="00737BA2">
      <w:pPr>
        <w:jc w:val="center"/>
        <w:rPr>
          <w:sz w:val="32"/>
          <w:szCs w:val="32"/>
        </w:rPr>
      </w:pPr>
    </w:p>
    <w:p w14:paraId="63D79A1E" w14:textId="6140700D" w:rsidR="00737BA2" w:rsidRPr="00737BA2" w:rsidRDefault="00737BA2" w:rsidP="00737BA2">
      <w:pPr>
        <w:jc w:val="center"/>
        <w:rPr>
          <w:sz w:val="40"/>
          <w:szCs w:val="40"/>
        </w:rPr>
      </w:pPr>
      <w:bookmarkStart w:id="0" w:name="_GoBack"/>
    </w:p>
    <w:p w14:paraId="001785EF" w14:textId="589E6064" w:rsidR="00737BA2" w:rsidRPr="00737BA2" w:rsidRDefault="00737BA2" w:rsidP="00737BA2">
      <w:pPr>
        <w:jc w:val="center"/>
        <w:rPr>
          <w:b/>
          <w:bCs/>
          <w:sz w:val="40"/>
          <w:szCs w:val="40"/>
        </w:rPr>
      </w:pPr>
      <w:r w:rsidRPr="00737BA2">
        <w:rPr>
          <w:b/>
          <w:bCs/>
          <w:sz w:val="40"/>
          <w:szCs w:val="40"/>
        </w:rPr>
        <w:t xml:space="preserve">Cannabiskonsum und die Assoziierung mit Schizophrenie </w:t>
      </w:r>
    </w:p>
    <w:bookmarkEnd w:id="0"/>
    <w:p w14:paraId="570D5E45" w14:textId="36E66165" w:rsidR="00737BA2" w:rsidRDefault="00737BA2" w:rsidP="00737BA2">
      <w:pPr>
        <w:jc w:val="center"/>
        <w:rPr>
          <w:sz w:val="32"/>
          <w:szCs w:val="32"/>
        </w:rPr>
      </w:pPr>
    </w:p>
    <w:p w14:paraId="3F3341D9" w14:textId="77777777" w:rsidR="00737BA2" w:rsidRDefault="00737BA2" w:rsidP="00737BA2">
      <w:pPr>
        <w:jc w:val="center"/>
        <w:rPr>
          <w:sz w:val="32"/>
          <w:szCs w:val="32"/>
        </w:rPr>
      </w:pPr>
    </w:p>
    <w:p w14:paraId="4A1367AF" w14:textId="77777777" w:rsidR="00737BA2" w:rsidRPr="00737BA2" w:rsidRDefault="00737BA2" w:rsidP="00737BA2">
      <w:pPr>
        <w:rPr>
          <w:sz w:val="32"/>
          <w:szCs w:val="32"/>
        </w:rPr>
      </w:pPr>
    </w:p>
    <w:p w14:paraId="53F5C1F0" w14:textId="190AB020" w:rsidR="00737BA2" w:rsidRPr="00737BA2" w:rsidRDefault="00737BA2" w:rsidP="00737BA2">
      <w:pPr>
        <w:jc w:val="center"/>
        <w:rPr>
          <w:sz w:val="36"/>
          <w:szCs w:val="36"/>
        </w:rPr>
      </w:pPr>
      <w:r w:rsidRPr="00737BA2">
        <w:rPr>
          <w:sz w:val="36"/>
          <w:szCs w:val="36"/>
        </w:rPr>
        <w:t>Veranstaltung: Psychosen (Grundlagen und Interventionen)</w:t>
      </w:r>
    </w:p>
    <w:p w14:paraId="161DF227" w14:textId="77777777" w:rsidR="00737BA2" w:rsidRPr="00737BA2" w:rsidRDefault="00737BA2" w:rsidP="00737BA2">
      <w:pPr>
        <w:jc w:val="center"/>
        <w:rPr>
          <w:sz w:val="36"/>
          <w:szCs w:val="36"/>
        </w:rPr>
      </w:pPr>
      <w:r w:rsidRPr="00737BA2">
        <w:rPr>
          <w:sz w:val="36"/>
          <w:szCs w:val="36"/>
        </w:rPr>
        <w:t>Herbstsemester 2022</w:t>
      </w:r>
    </w:p>
    <w:p w14:paraId="15DF6D1B" w14:textId="77777777" w:rsidR="00737BA2" w:rsidRPr="00737BA2" w:rsidRDefault="00737BA2" w:rsidP="00737BA2">
      <w:pPr>
        <w:jc w:val="center"/>
        <w:rPr>
          <w:sz w:val="36"/>
          <w:szCs w:val="36"/>
        </w:rPr>
      </w:pPr>
      <w:r w:rsidRPr="00737BA2">
        <w:rPr>
          <w:sz w:val="36"/>
          <w:szCs w:val="36"/>
        </w:rPr>
        <w:t>Universität Fribourg/Freiburg</w:t>
      </w:r>
    </w:p>
    <w:p w14:paraId="37695B5B" w14:textId="77777777" w:rsidR="00737BA2" w:rsidRPr="00737BA2" w:rsidRDefault="00737BA2" w:rsidP="00737BA2">
      <w:pPr>
        <w:jc w:val="center"/>
        <w:rPr>
          <w:sz w:val="36"/>
          <w:szCs w:val="36"/>
        </w:rPr>
      </w:pPr>
      <w:r w:rsidRPr="00737BA2">
        <w:rPr>
          <w:sz w:val="36"/>
          <w:szCs w:val="36"/>
        </w:rPr>
        <w:t>Autorin: Sarah Bauer 21201504/ sarah.bauer@unifr.ch</w:t>
      </w:r>
    </w:p>
    <w:p w14:paraId="5FE294E3" w14:textId="1ABF64F5" w:rsidR="00737BA2" w:rsidRPr="00737BA2" w:rsidRDefault="00737BA2" w:rsidP="00737BA2">
      <w:pPr>
        <w:jc w:val="center"/>
        <w:rPr>
          <w:sz w:val="36"/>
          <w:szCs w:val="36"/>
        </w:rPr>
      </w:pPr>
      <w:r w:rsidRPr="00737BA2">
        <w:rPr>
          <w:sz w:val="36"/>
          <w:szCs w:val="36"/>
        </w:rPr>
        <w:t>Datum 1</w:t>
      </w:r>
      <w:r w:rsidR="002E3353">
        <w:rPr>
          <w:sz w:val="36"/>
          <w:szCs w:val="36"/>
        </w:rPr>
        <w:t>4</w:t>
      </w:r>
      <w:r w:rsidRPr="00737BA2">
        <w:rPr>
          <w:sz w:val="36"/>
          <w:szCs w:val="36"/>
        </w:rPr>
        <w:t>.10.2022</w:t>
      </w:r>
    </w:p>
    <w:p w14:paraId="40815133" w14:textId="441EB5CA" w:rsidR="00737BA2" w:rsidRDefault="00737BA2" w:rsidP="00737BA2">
      <w:pPr>
        <w:pStyle w:val="Titel"/>
        <w:jc w:val="center"/>
      </w:pPr>
    </w:p>
    <w:p w14:paraId="6930F14E" w14:textId="77777777" w:rsidR="00737BA2" w:rsidRPr="00737BA2" w:rsidRDefault="00737BA2" w:rsidP="00737BA2"/>
    <w:p w14:paraId="74DFAC0E" w14:textId="769CC186" w:rsidR="006A4B78" w:rsidRDefault="00737BA2" w:rsidP="00737BA2">
      <w:r>
        <w:br w:type="page"/>
      </w:r>
    </w:p>
    <w:sdt>
      <w:sdtPr>
        <w:rPr>
          <w:rFonts w:ascii="Times" w:eastAsiaTheme="minorHAnsi" w:hAnsi="Times" w:cstheme="minorBidi"/>
          <w:b w:val="0"/>
          <w:bCs w:val="0"/>
          <w:color w:val="auto"/>
          <w:sz w:val="24"/>
          <w:szCs w:val="24"/>
          <w:lang w:val="de-DE" w:eastAsia="en-US"/>
        </w:rPr>
        <w:id w:val="-1385168110"/>
        <w:docPartObj>
          <w:docPartGallery w:val="Table of Contents"/>
          <w:docPartUnique/>
        </w:docPartObj>
      </w:sdtPr>
      <w:sdtEndPr>
        <w:rPr>
          <w:noProof/>
          <w:lang w:val="de-CH"/>
        </w:rPr>
      </w:sdtEndPr>
      <w:sdtContent>
        <w:p w14:paraId="6F05858F" w14:textId="40173E29" w:rsidR="008934C7" w:rsidRDefault="008934C7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64F6138D" w14:textId="40B7F306" w:rsidR="00861C34" w:rsidRDefault="008934C7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16642114" w:history="1">
            <w:r w:rsidR="00861C34" w:rsidRPr="00A370B7">
              <w:rPr>
                <w:rStyle w:val="Hyperlink"/>
                <w:rFonts w:ascii="Times" w:hAnsi="Times"/>
                <w:noProof/>
              </w:rPr>
              <w:t>Zusammenfassung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_Toc116642114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2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4F59079A" w14:textId="692338B4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15" w:history="1">
            <w:r w:rsidR="00861C34" w:rsidRPr="00A370B7">
              <w:rPr>
                <w:rStyle w:val="Hyperlink"/>
                <w:rFonts w:ascii="Times" w:hAnsi="Times"/>
                <w:noProof/>
              </w:rPr>
              <w:t>Schizophrenie-Spektrum und andere psychotischen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_Toc116642115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3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258570B2" w14:textId="2159BF23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16" w:history="1">
            <w:r w:rsidR="00861C34" w:rsidRPr="00A370B7">
              <w:rPr>
                <w:rStyle w:val="Hyperlink"/>
                <w:rFonts w:ascii="Times" w:hAnsi="Times"/>
                <w:noProof/>
              </w:rPr>
              <w:t>Studie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_Toc116642116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4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0B4116A9" w14:textId="405FA1EC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17" w:history="1">
            <w:r w:rsidR="00861C34" w:rsidRPr="00A370B7">
              <w:rPr>
                <w:rStyle w:val="Hyperlink"/>
                <w:rFonts w:ascii="Times" w:hAnsi="Times"/>
                <w:noProof/>
              </w:rPr>
              <w:t>Fragestellung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_Toc116642117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4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5B0F1B7F" w14:textId="32837D0E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18" w:history="1">
            <w:r w:rsidR="00861C34" w:rsidRPr="00A370B7">
              <w:rPr>
                <w:rStyle w:val="Hyperlink"/>
                <w:rFonts w:ascii="Times" w:hAnsi="Times"/>
                <w:noProof/>
              </w:rPr>
              <w:t>Methode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_Toc116642118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5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6D9EC9A0" w14:textId="178386BD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19" w:history="1">
            <w:r w:rsidR="00861C34" w:rsidRPr="00A370B7">
              <w:rPr>
                <w:rStyle w:val="Hyperlink"/>
                <w:rFonts w:ascii="Times" w:hAnsi="Times"/>
                <w:noProof/>
              </w:rPr>
              <w:t>Klinisches Messverfahren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_Toc116642119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5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7FA9EDF1" w14:textId="74E2A13A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20" w:history="1">
            <w:r w:rsidR="00861C34" w:rsidRPr="00A370B7">
              <w:rPr>
                <w:rStyle w:val="Hyperlink"/>
                <w:rFonts w:ascii="Times" w:hAnsi="Times"/>
                <w:noProof/>
              </w:rPr>
              <w:t>Statistische Analysen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_Toc116642120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6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351A2944" w14:textId="42F737F1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21" w:history="1">
            <w:r w:rsidR="00861C34" w:rsidRPr="00A370B7">
              <w:rPr>
                <w:rStyle w:val="Hyperlink"/>
                <w:rFonts w:ascii="Times" w:hAnsi="Times"/>
                <w:noProof/>
              </w:rPr>
              <w:t>Demographische Merkmale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_Toc116642121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6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47ADF323" w14:textId="47C6DD9C" w:rsidR="00861C34" w:rsidRDefault="008742A4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de-DE"/>
            </w:rPr>
          </w:pPr>
          <w:hyperlink w:anchor="_Toc116642122" w:history="1">
            <w:r w:rsidR="00861C34" w:rsidRPr="00A370B7">
              <w:rPr>
                <w:rStyle w:val="Hyperlink"/>
                <w:rFonts w:ascii="Times" w:hAnsi="Times"/>
                <w:noProof/>
              </w:rPr>
              <w:t>Ergebnisse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_Toc116642122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7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775572F5" w14:textId="725E45C4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23" w:history="1">
            <w:r w:rsidR="00861C34" w:rsidRPr="00A370B7">
              <w:rPr>
                <w:rStyle w:val="Hyperlink"/>
                <w:rFonts w:ascii="Times" w:hAnsi="Times"/>
                <w:noProof/>
              </w:rPr>
              <w:t>Diskussion und Limitationen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_Toc116642123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7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24281AC4" w14:textId="5DFDA997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24" w:history="1">
            <w:r w:rsidR="00861C34" w:rsidRPr="00A370B7">
              <w:rPr>
                <w:rStyle w:val="Hyperlink"/>
                <w:rFonts w:ascii="Times" w:hAnsi="Times"/>
                <w:noProof/>
              </w:rPr>
              <w:t>Fazit und Ausblick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_Toc116642124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8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31978B20" w14:textId="76CFBC89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25" w:history="1">
            <w:r w:rsidR="00861C34" w:rsidRPr="00A370B7">
              <w:rPr>
                <w:rStyle w:val="Hyperlink"/>
                <w:rFonts w:ascii="Times" w:hAnsi="Times"/>
                <w:noProof/>
                <w:lang w:val="en-US"/>
              </w:rPr>
              <w:t>Literaturverzeichnis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_Toc116642125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9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1DC10DC3" w14:textId="0A65219A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26" w:history="1">
            <w:r w:rsidR="00861C34" w:rsidRPr="00A370B7">
              <w:rPr>
                <w:rStyle w:val="Hyperlink"/>
                <w:rFonts w:ascii="Times" w:hAnsi="Times"/>
                <w:noProof/>
              </w:rPr>
              <w:t>Tabellenverzeichnis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_Toc116642126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9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1239C217" w14:textId="29D94C16" w:rsidR="00861C34" w:rsidRDefault="008742A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16642127" w:history="1">
            <w:r w:rsidR="00861C34" w:rsidRPr="00A370B7">
              <w:rPr>
                <w:rStyle w:val="Hyperlink"/>
                <w:rFonts w:ascii="Times" w:hAnsi="Times"/>
                <w:noProof/>
              </w:rPr>
              <w:t>Tabelle 1. Darstellung klinisches Messverfahren</w:t>
            </w:r>
            <w:r w:rsidR="00861C34">
              <w:rPr>
                <w:noProof/>
                <w:webHidden/>
              </w:rPr>
              <w:tab/>
            </w:r>
            <w:r w:rsidR="00861C34">
              <w:rPr>
                <w:noProof/>
                <w:webHidden/>
              </w:rPr>
              <w:fldChar w:fldCharType="begin"/>
            </w:r>
            <w:r w:rsidR="00861C34">
              <w:rPr>
                <w:noProof/>
                <w:webHidden/>
              </w:rPr>
              <w:instrText xml:space="preserve"> PAGEREF _Toc116642127 \h </w:instrText>
            </w:r>
            <w:r w:rsidR="00861C34">
              <w:rPr>
                <w:noProof/>
                <w:webHidden/>
              </w:rPr>
            </w:r>
            <w:r w:rsidR="00861C34">
              <w:rPr>
                <w:noProof/>
                <w:webHidden/>
              </w:rPr>
              <w:fldChar w:fldCharType="separate"/>
            </w:r>
            <w:r w:rsidR="006726C5">
              <w:rPr>
                <w:noProof/>
                <w:webHidden/>
              </w:rPr>
              <w:t>9</w:t>
            </w:r>
            <w:r w:rsidR="00861C34">
              <w:rPr>
                <w:noProof/>
                <w:webHidden/>
              </w:rPr>
              <w:fldChar w:fldCharType="end"/>
            </w:r>
          </w:hyperlink>
        </w:p>
        <w:p w14:paraId="41E1AC1F" w14:textId="4CD7B470" w:rsidR="008934C7" w:rsidRDefault="008934C7">
          <w:r>
            <w:rPr>
              <w:b/>
              <w:bCs/>
              <w:noProof/>
            </w:rPr>
            <w:fldChar w:fldCharType="end"/>
          </w:r>
        </w:p>
      </w:sdtContent>
    </w:sdt>
    <w:p w14:paraId="43D89AAF" w14:textId="77777777" w:rsidR="006A4B78" w:rsidRDefault="006A4B78" w:rsidP="006A4B78"/>
    <w:p w14:paraId="67B30051" w14:textId="77777777" w:rsidR="006A4B78" w:rsidRDefault="006A4B78" w:rsidP="006A4B78"/>
    <w:p w14:paraId="59200DF9" w14:textId="77777777" w:rsidR="006A4B78" w:rsidRDefault="006A4B78" w:rsidP="006A4B78"/>
    <w:p w14:paraId="3B5BCDEA" w14:textId="20313BA3" w:rsidR="000678A6" w:rsidRDefault="006A4B78" w:rsidP="00A5573F">
      <w:r>
        <w:br w:type="page"/>
      </w:r>
    </w:p>
    <w:p w14:paraId="1D6BB126" w14:textId="77777777" w:rsidR="009C135A" w:rsidRPr="008934C7" w:rsidRDefault="009C135A" w:rsidP="008934C7">
      <w:pPr>
        <w:pStyle w:val="berschrift1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1" w:name="_Toc116642114"/>
      <w:r w:rsidRPr="008934C7">
        <w:rPr>
          <w:rFonts w:ascii="Times" w:hAnsi="Times"/>
          <w:color w:val="000000" w:themeColor="text1"/>
          <w:sz w:val="24"/>
          <w:szCs w:val="24"/>
        </w:rPr>
        <w:lastRenderedPageBreak/>
        <w:t>Zusammenfassung</w:t>
      </w:r>
      <w:bookmarkEnd w:id="1"/>
    </w:p>
    <w:p w14:paraId="4777CD1B" w14:textId="77777777" w:rsidR="009C135A" w:rsidRDefault="009C135A" w:rsidP="008934C7">
      <w:pPr>
        <w:spacing w:line="360" w:lineRule="auto"/>
      </w:pPr>
    </w:p>
    <w:p w14:paraId="7EE06CF9" w14:textId="50CE0CAD" w:rsidR="008806E7" w:rsidRDefault="009C135A" w:rsidP="00476F00">
      <w:pPr>
        <w:spacing w:line="360" w:lineRule="auto"/>
        <w:ind w:firstLine="708"/>
      </w:pPr>
      <w:r>
        <w:t xml:space="preserve">Das Ziel dieser Arbeit </w:t>
      </w:r>
      <w:r w:rsidR="00DA2FB1">
        <w:t xml:space="preserve">ist </w:t>
      </w:r>
      <w:r>
        <w:t>es</w:t>
      </w:r>
      <w:r w:rsidR="00102847">
        <w:t xml:space="preserve">, </w:t>
      </w:r>
      <w:r>
        <w:t xml:space="preserve">anhand </w:t>
      </w:r>
      <w:r w:rsidR="00102847">
        <w:t>der Literaturrecherche sowie in eine</w:t>
      </w:r>
      <w:r w:rsidR="00C27D02">
        <w:t>m</w:t>
      </w:r>
      <w:r w:rsidR="00102847">
        <w:t xml:space="preserve"> vertieften Einblick</w:t>
      </w:r>
      <w:r w:rsidR="00FE00D4">
        <w:t xml:space="preserve"> der S</w:t>
      </w:r>
      <w:r w:rsidR="00102847">
        <w:t>tudie</w:t>
      </w:r>
      <w:r w:rsidR="008806E7">
        <w:t xml:space="preserve"> von Helle</w:t>
      </w:r>
      <w:r w:rsidR="000403C8">
        <w:t xml:space="preserve"> </w:t>
      </w:r>
      <w:r w:rsidR="008806E7">
        <w:t>und Kollegen (2016),</w:t>
      </w:r>
      <w:r w:rsidR="00102847">
        <w:t xml:space="preserve"> </w:t>
      </w:r>
      <w:r>
        <w:t xml:space="preserve">die Assoziierung zwischen </w:t>
      </w:r>
      <w:r w:rsidR="000C0778">
        <w:t xml:space="preserve">einer </w:t>
      </w:r>
      <w:r w:rsidR="005A430E">
        <w:t xml:space="preserve">Störung auf dem </w:t>
      </w:r>
      <w:r w:rsidR="000C0778">
        <w:t>Schizophrenie</w:t>
      </w:r>
      <w:r w:rsidR="00B01CB3">
        <w:t xml:space="preserve">- Spektrum </w:t>
      </w:r>
      <w:r w:rsidR="000C0778">
        <w:t xml:space="preserve">und dem Konsum von Cannabis zu analysieren. </w:t>
      </w:r>
    </w:p>
    <w:p w14:paraId="13F259BF" w14:textId="6AB41A78" w:rsidR="0052370F" w:rsidRPr="0052370F" w:rsidRDefault="008806E7" w:rsidP="008934C7">
      <w:pPr>
        <w:spacing w:line="360" w:lineRule="auto"/>
      </w:pPr>
      <w:r>
        <w:t>Während viele Studien den Konsum von Cannabis und einem erhöhten Risiko an einer psychotischen Störung zu erkranken belegen, bleibt es unklar, ob ein kausaler Zusammenhang besteht</w:t>
      </w:r>
      <w:r w:rsidR="00FE00D4">
        <w:t xml:space="preserve"> </w:t>
      </w:r>
      <w:r w:rsidR="00FE00D4" w:rsidRPr="00924462">
        <w:t>(</w:t>
      </w:r>
      <w:r w:rsidR="007B2DE4">
        <w:t>Helle et al.,2016;</w:t>
      </w:r>
      <w:r w:rsidR="007B2DE4" w:rsidRPr="00924462">
        <w:t xml:space="preserve"> Marconi</w:t>
      </w:r>
      <w:r w:rsidR="00FE00D4" w:rsidRPr="00924462">
        <w:t xml:space="preserve"> et al.,2016; Ortiz-Medina et al., 2018; Roser, 2019)</w:t>
      </w:r>
      <w:r w:rsidR="00FE00D4">
        <w:t>. In der analysierten Studie von Helle und Kollegen (2016)</w:t>
      </w:r>
      <w:r w:rsidR="006D2B85">
        <w:t xml:space="preserve"> mit 1090 Teilnehmern</w:t>
      </w:r>
      <w:r w:rsidR="00FE00D4">
        <w:t xml:space="preserve"> wurde aufgezeigt, dass Menschen mit Symptomen einer Schizophrenie-Spektrum-Störung und</w:t>
      </w:r>
      <w:r>
        <w:t xml:space="preserve"> </w:t>
      </w:r>
      <w:r w:rsidR="00FE00D4">
        <w:t>einem</w:t>
      </w:r>
      <w:r w:rsidR="00C27D02">
        <w:t xml:space="preserve"> Cannabiskonsum einen </w:t>
      </w:r>
      <w:r w:rsidR="006D2B85">
        <w:t xml:space="preserve">2.9 Jahren </w:t>
      </w:r>
      <w:r w:rsidR="00C27D02">
        <w:t>früheren</w:t>
      </w:r>
      <w:r w:rsidR="00FE00D4">
        <w:t xml:space="preserve"> Krankheitsbeginn </w:t>
      </w:r>
      <w:r w:rsidR="00B62608">
        <w:t>haben</w:t>
      </w:r>
      <w:r w:rsidR="00FE00D4">
        <w:t xml:space="preserve"> als Patienten, welche kein Cannabiskonsum </w:t>
      </w:r>
      <w:r w:rsidR="00062837">
        <w:t>aufweisen.</w:t>
      </w:r>
      <w:r w:rsidR="00FE00D4">
        <w:t xml:space="preserve"> Jedoch ist die Aussagekraft</w:t>
      </w:r>
      <w:r w:rsidR="00B01CB3">
        <w:t xml:space="preserve"> diverser empirischen Studien bezüglich dieser Thematik</w:t>
      </w:r>
      <w:r w:rsidR="00FE00D4">
        <w:t xml:space="preserve"> </w:t>
      </w:r>
      <w:r w:rsidR="005A430E">
        <w:t>aufgrund gemischter Ergebnisse sowie diverser Methodologie u</w:t>
      </w:r>
      <w:r w:rsidR="0060260E">
        <w:t>mstritten</w:t>
      </w:r>
      <w:r w:rsidR="005A430E">
        <w:t>.</w:t>
      </w:r>
      <w:r>
        <w:t xml:space="preserve"> </w:t>
      </w:r>
      <w:r w:rsidR="00FE00D4">
        <w:t xml:space="preserve">Dies verdeutlicht den Bedarf an weiteren Forschungseinheiten </w:t>
      </w:r>
      <w:r w:rsidR="00C27D02">
        <w:t>bezüglich dieses Zusammenhangs insbesondere, wenn man den Schwerengrad dieser Krankheit in Betracht zieht.</w:t>
      </w:r>
      <w:r w:rsidR="00FE00D4">
        <w:t xml:space="preserve"> </w:t>
      </w:r>
    </w:p>
    <w:p w14:paraId="5941C08D" w14:textId="191BEAB5" w:rsidR="0052370F" w:rsidRPr="002C4568" w:rsidRDefault="0052370F" w:rsidP="008934C7">
      <w:pPr>
        <w:spacing w:line="360" w:lineRule="auto"/>
        <w:rPr>
          <w:rStyle w:val="Fett"/>
        </w:rPr>
      </w:pPr>
    </w:p>
    <w:p w14:paraId="336FCD9F" w14:textId="77777777" w:rsidR="0052370F" w:rsidRPr="0052370F" w:rsidRDefault="0052370F" w:rsidP="008934C7"/>
    <w:p w14:paraId="751BA00D" w14:textId="3E9F3859" w:rsidR="0052370F" w:rsidRDefault="0052370F" w:rsidP="008934C7"/>
    <w:p w14:paraId="7D41792F" w14:textId="53D2EB85" w:rsidR="0052370F" w:rsidRDefault="0052370F" w:rsidP="008934C7"/>
    <w:p w14:paraId="5DA23970" w14:textId="33825BA6" w:rsidR="0052370F" w:rsidRDefault="0052370F" w:rsidP="008934C7"/>
    <w:p w14:paraId="2B02C09A" w14:textId="23A3B0DC" w:rsidR="0052370F" w:rsidRDefault="0052370F" w:rsidP="008934C7"/>
    <w:p w14:paraId="59C4A463" w14:textId="67E35A35" w:rsidR="0052370F" w:rsidRDefault="0052370F" w:rsidP="008934C7"/>
    <w:p w14:paraId="180880D8" w14:textId="19438CED" w:rsidR="0052370F" w:rsidRDefault="0052370F" w:rsidP="008934C7"/>
    <w:p w14:paraId="4F822B40" w14:textId="4FC21735" w:rsidR="0052370F" w:rsidRDefault="0052370F" w:rsidP="008934C7"/>
    <w:p w14:paraId="640127BD" w14:textId="1B5E758C" w:rsidR="0052370F" w:rsidRDefault="0052370F" w:rsidP="008934C7"/>
    <w:p w14:paraId="36477DDC" w14:textId="6FB4409A" w:rsidR="0052370F" w:rsidRDefault="0052370F" w:rsidP="008934C7"/>
    <w:p w14:paraId="711F526C" w14:textId="59A9EA73" w:rsidR="0052370F" w:rsidRDefault="0052370F" w:rsidP="008934C7"/>
    <w:p w14:paraId="48140931" w14:textId="0CEBE2D8" w:rsidR="0052370F" w:rsidRDefault="0052370F" w:rsidP="008934C7"/>
    <w:p w14:paraId="506A3F20" w14:textId="1704937B" w:rsidR="0052370F" w:rsidRPr="0052370F" w:rsidRDefault="0052370F" w:rsidP="008934C7"/>
    <w:p w14:paraId="43BC0BFB" w14:textId="202475E0" w:rsidR="0052370F" w:rsidRPr="0052370F" w:rsidRDefault="0052370F" w:rsidP="008934C7"/>
    <w:p w14:paraId="5347C8B4" w14:textId="61E1A24D" w:rsidR="00561E33" w:rsidRDefault="00561E33" w:rsidP="008934C7"/>
    <w:p w14:paraId="281C4070" w14:textId="54E3E7C2" w:rsidR="009C135A" w:rsidRDefault="009C135A" w:rsidP="008934C7"/>
    <w:p w14:paraId="463EE780" w14:textId="7643F429" w:rsidR="009C135A" w:rsidRDefault="009C135A" w:rsidP="008934C7"/>
    <w:p w14:paraId="27FAC0DB" w14:textId="59C5640E" w:rsidR="009C135A" w:rsidRDefault="009C135A" w:rsidP="008934C7"/>
    <w:p w14:paraId="049C4668" w14:textId="7A45A4AC" w:rsidR="009C135A" w:rsidRDefault="009C135A" w:rsidP="008934C7"/>
    <w:p w14:paraId="2BDDBC06" w14:textId="77777777" w:rsidR="000678A6" w:rsidRDefault="000678A6" w:rsidP="008934C7"/>
    <w:p w14:paraId="4B49F0D0" w14:textId="77777777" w:rsidR="009C135A" w:rsidRDefault="009C135A" w:rsidP="008934C7"/>
    <w:p w14:paraId="1D1BA1E1" w14:textId="77777777" w:rsidR="009C135A" w:rsidRDefault="009C135A" w:rsidP="008934C7"/>
    <w:p w14:paraId="142B29D7" w14:textId="7A13C90A" w:rsidR="00F33A24" w:rsidRDefault="00F33A24" w:rsidP="008934C7">
      <w:pPr>
        <w:rPr>
          <w:rStyle w:val="IntensiveHervorhebung"/>
          <w:i w:val="0"/>
          <w:iCs w:val="0"/>
          <w:color w:val="auto"/>
          <w:sz w:val="28"/>
          <w:szCs w:val="28"/>
        </w:rPr>
      </w:pPr>
    </w:p>
    <w:p w14:paraId="42A9BC72" w14:textId="23D180E3" w:rsidR="00F80858" w:rsidRDefault="00F80858" w:rsidP="008934C7">
      <w:pPr>
        <w:rPr>
          <w:rStyle w:val="IntensiveHervorhebung"/>
          <w:i w:val="0"/>
          <w:iCs w:val="0"/>
          <w:color w:val="auto"/>
        </w:rPr>
      </w:pPr>
    </w:p>
    <w:p w14:paraId="3B2D10AF" w14:textId="431265E7" w:rsidR="009C135A" w:rsidRPr="0073153C" w:rsidRDefault="00F80858" w:rsidP="008934C7">
      <w:pPr>
        <w:spacing w:line="360" w:lineRule="auto"/>
        <w:ind w:firstLine="708"/>
        <w:rPr>
          <w:rFonts w:eastAsia="Times New Roman" w:cs="Times New Roman"/>
          <w:lang w:eastAsia="de-DE"/>
        </w:rPr>
      </w:pPr>
      <w:r w:rsidRPr="0073153C">
        <w:rPr>
          <w:rStyle w:val="IntensiveHervorhebung"/>
          <w:i w:val="0"/>
          <w:iCs w:val="0"/>
          <w:color w:val="000000" w:themeColor="text1"/>
        </w:rPr>
        <w:lastRenderedPageBreak/>
        <w:t>Cannabis</w:t>
      </w:r>
      <w:r w:rsidR="00241E9A" w:rsidRPr="0073153C">
        <w:rPr>
          <w:rStyle w:val="IntensiveHervorhebung"/>
          <w:i w:val="0"/>
          <w:iCs w:val="0"/>
          <w:color w:val="000000" w:themeColor="text1"/>
        </w:rPr>
        <w:t xml:space="preserve"> gehört zur Pflanzengattung </w:t>
      </w:r>
      <w:r w:rsidR="00241E9A" w:rsidRPr="0073153C">
        <w:rPr>
          <w:rStyle w:val="IntensiveHervorhebung"/>
          <w:color w:val="000000" w:themeColor="text1"/>
        </w:rPr>
        <w:t>Hanfgewächse</w:t>
      </w:r>
      <w:r w:rsidR="00241E9A" w:rsidRPr="0073153C">
        <w:rPr>
          <w:rStyle w:val="IntensiveHervorhebung"/>
          <w:i w:val="0"/>
          <w:iCs w:val="0"/>
          <w:color w:val="000000" w:themeColor="text1"/>
        </w:rPr>
        <w:t xml:space="preserve"> und</w:t>
      </w:r>
      <w:r w:rsidRPr="0073153C">
        <w:rPr>
          <w:rStyle w:val="IntensiveHervorhebung"/>
          <w:i w:val="0"/>
          <w:iCs w:val="0"/>
          <w:color w:val="000000" w:themeColor="text1"/>
        </w:rPr>
        <w:t xml:space="preserve"> besteht aus einer Zusammensetzung von chemischen Substanzen, welche Cannabinoide genannt werden</w:t>
      </w:r>
      <w:r w:rsidR="00FD24E8" w:rsidRPr="0073153C">
        <w:rPr>
          <w:rStyle w:val="IntensiveHervorhebung"/>
          <w:i w:val="0"/>
          <w:iCs w:val="0"/>
          <w:color w:val="000000" w:themeColor="text1"/>
        </w:rPr>
        <w:t xml:space="preserve"> </w:t>
      </w:r>
      <w:r w:rsidR="00FD24E8" w:rsidRPr="0073153C">
        <w:rPr>
          <w:rFonts w:eastAsia="Times New Roman" w:cs="Times New Roman"/>
          <w:lang w:eastAsia="de-DE"/>
        </w:rPr>
        <w:t>(Ortiz-Medina et al., 2018).</w:t>
      </w:r>
      <w:r w:rsidR="00FD24E8" w:rsidRPr="0073153C">
        <w:rPr>
          <w:rStyle w:val="IntensiveHervorhebung"/>
          <w:i w:val="0"/>
          <w:iCs w:val="0"/>
          <w:color w:val="000000" w:themeColor="text1"/>
        </w:rPr>
        <w:t xml:space="preserve"> Den</w:t>
      </w:r>
      <w:r w:rsidRPr="0073153C">
        <w:rPr>
          <w:rStyle w:val="IntensiveHervorhebung"/>
          <w:i w:val="0"/>
          <w:iCs w:val="0"/>
          <w:color w:val="000000" w:themeColor="text1"/>
        </w:rPr>
        <w:t xml:space="preserve"> psychoaktiven Zustand wird durch 9-Tetrahydrocannobil (THC) erzeugt, wobei der Cannabis etwa 16-20% THC </w:t>
      </w:r>
      <w:r w:rsidR="00885306" w:rsidRPr="0073153C">
        <w:rPr>
          <w:rStyle w:val="IntensiveHervorhebung"/>
          <w:i w:val="0"/>
          <w:iCs w:val="0"/>
          <w:color w:val="000000" w:themeColor="text1"/>
        </w:rPr>
        <w:t>enthält (</w:t>
      </w:r>
      <w:r w:rsidR="00885306" w:rsidRPr="0073153C">
        <w:rPr>
          <w:rFonts w:eastAsia="Times New Roman" w:cs="Times New Roman"/>
          <w:lang w:eastAsia="de-DE"/>
        </w:rPr>
        <w:t xml:space="preserve">Ortiz-Medina et al., 2018; Roser, 2019). </w:t>
      </w:r>
      <w:r w:rsidRPr="0073153C">
        <w:rPr>
          <w:rStyle w:val="IntensiveHervorhebung"/>
          <w:i w:val="0"/>
          <w:iCs w:val="0"/>
          <w:color w:val="000000" w:themeColor="text1"/>
        </w:rPr>
        <w:t>Weltweit zählt Cannabis zu den an meisten konsumierten illegalen Drogen</w:t>
      </w:r>
      <w:r w:rsidR="00BD26FE" w:rsidRPr="0073153C">
        <w:rPr>
          <w:rStyle w:val="IntensiveHervorhebung"/>
          <w:i w:val="0"/>
          <w:iCs w:val="0"/>
          <w:color w:val="000000" w:themeColor="text1"/>
        </w:rPr>
        <w:t xml:space="preserve"> </w:t>
      </w:r>
      <w:r w:rsidR="00BD26FE" w:rsidRPr="0073153C">
        <w:rPr>
          <w:rFonts w:eastAsia="Times New Roman" w:cs="Times New Roman"/>
          <w:lang w:eastAsia="de-DE"/>
        </w:rPr>
        <w:t>(</w:t>
      </w:r>
      <w:proofErr w:type="spellStart"/>
      <w:r w:rsidR="00BD26FE" w:rsidRPr="0073153C">
        <w:rPr>
          <w:rFonts w:eastAsia="Times New Roman" w:cs="Times New Roman"/>
          <w:lang w:eastAsia="de-DE"/>
        </w:rPr>
        <w:t>Asbridge</w:t>
      </w:r>
      <w:proofErr w:type="spellEnd"/>
      <w:r w:rsidR="00BD26FE" w:rsidRPr="0073153C">
        <w:rPr>
          <w:rFonts w:eastAsia="Times New Roman" w:cs="Times New Roman"/>
          <w:lang w:eastAsia="de-DE"/>
        </w:rPr>
        <w:t xml:space="preserve"> et al., 2012)</w:t>
      </w:r>
      <w:r w:rsidRPr="0073153C">
        <w:rPr>
          <w:rStyle w:val="IntensiveHervorhebung"/>
          <w:i w:val="0"/>
          <w:iCs w:val="0"/>
          <w:color w:val="000000" w:themeColor="text1"/>
        </w:rPr>
        <w:t xml:space="preserve">. </w:t>
      </w:r>
      <w:r w:rsidR="002C4568" w:rsidRPr="0073153C">
        <w:rPr>
          <w:rStyle w:val="IntensiveHervorhebung"/>
          <w:i w:val="0"/>
          <w:iCs w:val="0"/>
          <w:color w:val="000000" w:themeColor="text1"/>
        </w:rPr>
        <w:t xml:space="preserve">Viele Längsschnittuntersuchungen mit Beobachtungszeiträumen von 30 Jahren, identifizierten Cannabis als ein </w:t>
      </w:r>
      <w:r w:rsidR="00885306" w:rsidRPr="0073153C">
        <w:rPr>
          <w:rStyle w:val="IntensiveHervorhebung"/>
          <w:i w:val="0"/>
          <w:iCs w:val="0"/>
          <w:color w:val="000000" w:themeColor="text1"/>
        </w:rPr>
        <w:t>Risikofaktor für die Entwicklung der psychischen Störung</w:t>
      </w:r>
      <w:r w:rsidR="00885306" w:rsidRPr="0073153C">
        <w:rPr>
          <w:rStyle w:val="IntensiveHervorhebung"/>
          <w:color w:val="000000" w:themeColor="text1"/>
        </w:rPr>
        <w:t xml:space="preserve"> Schizophrenie </w:t>
      </w:r>
      <w:r w:rsidR="00885306" w:rsidRPr="0073153C">
        <w:rPr>
          <w:rFonts w:eastAsia="Times New Roman" w:cs="Times New Roman"/>
          <w:lang w:eastAsia="de-DE"/>
        </w:rPr>
        <w:t>(Roser, 2019).</w:t>
      </w:r>
      <w:r w:rsidR="00406084" w:rsidRPr="0073153C">
        <w:rPr>
          <w:rFonts w:eastAsia="Times New Roman" w:cs="Times New Roman"/>
          <w:lang w:eastAsia="de-DE"/>
        </w:rPr>
        <w:t xml:space="preserve"> </w:t>
      </w:r>
    </w:p>
    <w:p w14:paraId="70076E8A" w14:textId="079A61F2" w:rsidR="009C135A" w:rsidRPr="0073153C" w:rsidRDefault="00406084" w:rsidP="008934C7">
      <w:pPr>
        <w:spacing w:line="360" w:lineRule="auto"/>
        <w:ind w:firstLine="708"/>
        <w:rPr>
          <w:rFonts w:eastAsia="Times New Roman" w:cs="Times New Roman"/>
          <w:lang w:eastAsia="de-DE"/>
        </w:rPr>
      </w:pPr>
      <w:r w:rsidRPr="0073153C">
        <w:rPr>
          <w:rFonts w:eastAsia="Times New Roman" w:cs="Times New Roman"/>
          <w:lang w:eastAsia="de-DE"/>
        </w:rPr>
        <w:t>Eine Metanalyse</w:t>
      </w:r>
      <w:r w:rsidR="00DB3F68" w:rsidRPr="0073153C">
        <w:rPr>
          <w:rFonts w:eastAsia="Times New Roman" w:cs="Times New Roman"/>
          <w:lang w:eastAsia="de-DE"/>
        </w:rPr>
        <w:t xml:space="preserve"> zeigte, dass bereits ein moderater Konsum von Cannabis mit einem zwei-fachen erhöhtem Risiko einer schizophrenen Psychose assoziiert war</w:t>
      </w:r>
      <w:r w:rsidR="00BD26FE" w:rsidRPr="0073153C">
        <w:rPr>
          <w:rFonts w:eastAsia="Times New Roman" w:cs="Times New Roman"/>
          <w:lang w:eastAsia="de-DE"/>
        </w:rPr>
        <w:t xml:space="preserve"> (Marconi et al., 2016</w:t>
      </w:r>
      <w:r w:rsidR="00D9230A" w:rsidRPr="0073153C">
        <w:rPr>
          <w:rFonts w:eastAsia="Times New Roman" w:cs="Times New Roman"/>
          <w:lang w:eastAsia="de-DE"/>
        </w:rPr>
        <w:t>; Roser,</w:t>
      </w:r>
      <w:r w:rsidR="009C135A" w:rsidRPr="0073153C">
        <w:rPr>
          <w:rFonts w:eastAsia="Times New Roman" w:cs="Times New Roman"/>
          <w:lang w:eastAsia="de-DE"/>
        </w:rPr>
        <w:t xml:space="preserve"> </w:t>
      </w:r>
      <w:r w:rsidR="00D9230A" w:rsidRPr="0073153C">
        <w:rPr>
          <w:rFonts w:eastAsia="Times New Roman" w:cs="Times New Roman"/>
          <w:lang w:eastAsia="de-DE"/>
        </w:rPr>
        <w:t>201</w:t>
      </w:r>
      <w:r w:rsidR="000A7BF3" w:rsidRPr="0073153C">
        <w:rPr>
          <w:rFonts w:eastAsia="Times New Roman" w:cs="Times New Roman"/>
          <w:lang w:eastAsia="de-DE"/>
        </w:rPr>
        <w:t>9</w:t>
      </w:r>
      <w:r w:rsidR="00D9230A" w:rsidRPr="0073153C">
        <w:rPr>
          <w:rFonts w:eastAsia="Times New Roman" w:cs="Times New Roman"/>
          <w:lang w:eastAsia="de-DE"/>
        </w:rPr>
        <w:t>)</w:t>
      </w:r>
      <w:r w:rsidR="00BD26FE" w:rsidRPr="0073153C">
        <w:rPr>
          <w:rFonts w:eastAsia="Times New Roman" w:cs="Times New Roman"/>
          <w:lang w:eastAsia="de-DE"/>
        </w:rPr>
        <w:t>.</w:t>
      </w:r>
      <w:r w:rsidR="00DB3F68" w:rsidRPr="0073153C">
        <w:rPr>
          <w:rFonts w:eastAsia="Times New Roman" w:cs="Times New Roman"/>
          <w:lang w:eastAsia="de-DE"/>
        </w:rPr>
        <w:t xml:space="preserve"> Ein exzessiver Konsum von Cannabis </w:t>
      </w:r>
      <w:r w:rsidR="00BD26FE" w:rsidRPr="0073153C">
        <w:rPr>
          <w:rFonts w:eastAsia="Times New Roman" w:cs="Times New Roman"/>
          <w:lang w:eastAsia="de-DE"/>
        </w:rPr>
        <w:t>weist</w:t>
      </w:r>
      <w:r w:rsidR="00DB3F68" w:rsidRPr="0073153C">
        <w:rPr>
          <w:rFonts w:eastAsia="Times New Roman" w:cs="Times New Roman"/>
          <w:lang w:eastAsia="de-DE"/>
        </w:rPr>
        <w:t xml:space="preserve"> auf ein vier-fach erhöhtes Risiko</w:t>
      </w:r>
      <w:r w:rsidR="00D94E78" w:rsidRPr="0073153C">
        <w:rPr>
          <w:rFonts w:eastAsia="Times New Roman" w:cs="Times New Roman"/>
          <w:lang w:eastAsia="de-DE"/>
        </w:rPr>
        <w:t xml:space="preserve"> auf</w:t>
      </w:r>
      <w:r w:rsidR="00BD26FE" w:rsidRPr="0073153C">
        <w:rPr>
          <w:rFonts w:eastAsia="Times New Roman" w:cs="Times New Roman"/>
          <w:lang w:eastAsia="de-DE"/>
        </w:rPr>
        <w:t xml:space="preserve"> (Marconi et al., 2016)</w:t>
      </w:r>
      <w:r w:rsidR="005A430E" w:rsidRPr="0073153C">
        <w:rPr>
          <w:rFonts w:eastAsia="Times New Roman" w:cs="Times New Roman"/>
          <w:lang w:eastAsia="de-DE"/>
        </w:rPr>
        <w:t>.</w:t>
      </w:r>
      <w:r w:rsidR="00DB3F68" w:rsidRPr="0073153C">
        <w:rPr>
          <w:rFonts w:eastAsia="Times New Roman" w:cs="Times New Roman"/>
          <w:lang w:eastAsia="de-DE"/>
        </w:rPr>
        <w:t xml:space="preserve"> Zudem zeigt die </w:t>
      </w:r>
      <w:r w:rsidR="00BD26FE" w:rsidRPr="0073153C">
        <w:rPr>
          <w:rFonts w:eastAsia="Times New Roman" w:cs="Times New Roman"/>
          <w:lang w:eastAsia="de-DE"/>
        </w:rPr>
        <w:t>Metaanalyse</w:t>
      </w:r>
      <w:r w:rsidR="00DB3F68" w:rsidRPr="0073153C">
        <w:rPr>
          <w:rFonts w:eastAsia="Times New Roman" w:cs="Times New Roman"/>
          <w:lang w:eastAsia="de-DE"/>
        </w:rPr>
        <w:t xml:space="preserve"> auch, dass das Alter beim erstmaligen Konsum eine zentrale Rolle spielt</w:t>
      </w:r>
      <w:r w:rsidR="00D9230A" w:rsidRPr="0073153C">
        <w:rPr>
          <w:rFonts w:eastAsia="Times New Roman" w:cs="Times New Roman"/>
          <w:lang w:eastAsia="de-DE"/>
        </w:rPr>
        <w:t xml:space="preserve"> (Roser,</w:t>
      </w:r>
      <w:r w:rsidR="000A7BF3" w:rsidRPr="0073153C">
        <w:rPr>
          <w:rFonts w:eastAsia="Times New Roman" w:cs="Times New Roman"/>
          <w:lang w:eastAsia="de-DE"/>
        </w:rPr>
        <w:t xml:space="preserve"> </w:t>
      </w:r>
      <w:r w:rsidR="00D9230A" w:rsidRPr="0073153C">
        <w:rPr>
          <w:rFonts w:eastAsia="Times New Roman" w:cs="Times New Roman"/>
          <w:lang w:eastAsia="de-DE"/>
        </w:rPr>
        <w:t>201</w:t>
      </w:r>
      <w:r w:rsidR="000A7BF3" w:rsidRPr="0073153C">
        <w:rPr>
          <w:rFonts w:eastAsia="Times New Roman" w:cs="Times New Roman"/>
          <w:lang w:eastAsia="de-DE"/>
        </w:rPr>
        <w:t>9</w:t>
      </w:r>
      <w:r w:rsidR="00D9230A" w:rsidRPr="0073153C">
        <w:rPr>
          <w:rFonts w:eastAsia="Times New Roman" w:cs="Times New Roman"/>
          <w:lang w:eastAsia="de-DE"/>
        </w:rPr>
        <w:t>). Ein Cannabiskonsum im Alter von 15 Jahren</w:t>
      </w:r>
      <w:r w:rsidR="005A430E" w:rsidRPr="0073153C">
        <w:rPr>
          <w:rFonts w:eastAsia="Times New Roman" w:cs="Times New Roman"/>
          <w:lang w:eastAsia="de-DE"/>
        </w:rPr>
        <w:t>,</w:t>
      </w:r>
      <w:r w:rsidR="00D9230A" w:rsidRPr="0073153C">
        <w:rPr>
          <w:rFonts w:eastAsia="Times New Roman" w:cs="Times New Roman"/>
          <w:lang w:eastAsia="de-DE"/>
        </w:rPr>
        <w:t xml:space="preserve"> erhöhte das Risiko vier-mal mit 26 Jahren an einer Schizophrenieverwandten Störung zu erkranken </w:t>
      </w:r>
      <w:r w:rsidR="00960CDE" w:rsidRPr="0073153C">
        <w:rPr>
          <w:rFonts w:eastAsia="Times New Roman" w:cs="Times New Roman"/>
          <w:lang w:eastAsia="de-DE"/>
        </w:rPr>
        <w:t>(Marconi et al.,2016; Roser</w:t>
      </w:r>
      <w:r w:rsidR="00D9230A" w:rsidRPr="0073153C">
        <w:rPr>
          <w:rFonts w:eastAsia="Times New Roman" w:cs="Times New Roman"/>
          <w:lang w:eastAsia="de-DE"/>
        </w:rPr>
        <w:t>,</w:t>
      </w:r>
      <w:r w:rsidR="000A7BF3" w:rsidRPr="0073153C">
        <w:rPr>
          <w:rFonts w:eastAsia="Times New Roman" w:cs="Times New Roman"/>
          <w:lang w:eastAsia="de-DE"/>
        </w:rPr>
        <w:t xml:space="preserve"> </w:t>
      </w:r>
      <w:r w:rsidR="00D9230A" w:rsidRPr="0073153C">
        <w:rPr>
          <w:rFonts w:eastAsia="Times New Roman" w:cs="Times New Roman"/>
          <w:lang w:eastAsia="de-DE"/>
        </w:rPr>
        <w:t>201</w:t>
      </w:r>
      <w:r w:rsidR="000403C8" w:rsidRPr="0073153C">
        <w:rPr>
          <w:rFonts w:eastAsia="Times New Roman" w:cs="Times New Roman"/>
          <w:lang w:eastAsia="de-DE"/>
        </w:rPr>
        <w:t>9</w:t>
      </w:r>
      <w:r w:rsidR="00D9230A" w:rsidRPr="0073153C">
        <w:rPr>
          <w:rFonts w:eastAsia="Times New Roman" w:cs="Times New Roman"/>
          <w:lang w:eastAsia="de-DE"/>
        </w:rPr>
        <w:t xml:space="preserve">). </w:t>
      </w:r>
    </w:p>
    <w:p w14:paraId="3CAD893B" w14:textId="77777777" w:rsidR="00D94E78" w:rsidRPr="0073153C" w:rsidRDefault="00950A48" w:rsidP="008934C7">
      <w:pPr>
        <w:spacing w:line="360" w:lineRule="auto"/>
        <w:ind w:firstLine="708"/>
        <w:rPr>
          <w:rFonts w:eastAsia="Times New Roman" w:cs="Times New Roman"/>
          <w:lang w:eastAsia="de-DE"/>
        </w:rPr>
      </w:pPr>
      <w:r w:rsidRPr="0073153C">
        <w:rPr>
          <w:rFonts w:eastAsia="Times New Roman" w:cs="Times New Roman"/>
          <w:lang w:eastAsia="de-DE"/>
        </w:rPr>
        <w:t xml:space="preserve">Jedoch widerlegten diverse Studien, dass ein früher Konsum von Cannabis das </w:t>
      </w:r>
      <w:proofErr w:type="spellStart"/>
      <w:r w:rsidRPr="0073153C">
        <w:rPr>
          <w:rFonts w:eastAsia="Times New Roman" w:cs="Times New Roman"/>
          <w:lang w:eastAsia="de-DE"/>
        </w:rPr>
        <w:t>Psychoserisiko</w:t>
      </w:r>
      <w:proofErr w:type="spellEnd"/>
      <w:r w:rsidRPr="0073153C">
        <w:rPr>
          <w:rFonts w:eastAsia="Times New Roman" w:cs="Times New Roman"/>
          <w:lang w:eastAsia="de-DE"/>
        </w:rPr>
        <w:t xml:space="preserve"> erhöht</w:t>
      </w:r>
      <w:r w:rsidR="000A7BF3" w:rsidRPr="0073153C">
        <w:t xml:space="preserve"> </w:t>
      </w:r>
      <w:r w:rsidR="000A7BF3" w:rsidRPr="0073153C">
        <w:rPr>
          <w:rFonts w:eastAsia="Times New Roman" w:cs="Times New Roman"/>
          <w:lang w:eastAsia="de-DE"/>
        </w:rPr>
        <w:t>(</w:t>
      </w:r>
      <w:proofErr w:type="spellStart"/>
      <w:r w:rsidR="00DA442F" w:rsidRPr="0073153C">
        <w:rPr>
          <w:rFonts w:eastAsia="Times New Roman" w:cs="Times New Roman"/>
          <w:lang w:eastAsia="de-DE"/>
        </w:rPr>
        <w:t>Hjorthøj</w:t>
      </w:r>
      <w:proofErr w:type="spellEnd"/>
      <w:r w:rsidR="00DA442F" w:rsidRPr="0073153C">
        <w:rPr>
          <w:rFonts w:eastAsia="Times New Roman" w:cs="Times New Roman"/>
          <w:lang w:eastAsia="de-DE"/>
        </w:rPr>
        <w:t xml:space="preserve"> et al., 2020; Malchow</w:t>
      </w:r>
      <w:r w:rsidR="000A7BF3" w:rsidRPr="0073153C">
        <w:rPr>
          <w:rFonts w:eastAsia="Times New Roman" w:cs="Times New Roman"/>
          <w:lang w:eastAsia="de-DE"/>
        </w:rPr>
        <w:t xml:space="preserve"> et al., 2012)</w:t>
      </w:r>
      <w:r w:rsidRPr="0073153C">
        <w:rPr>
          <w:rFonts w:eastAsia="Times New Roman" w:cs="Times New Roman"/>
          <w:lang w:eastAsia="de-DE"/>
        </w:rPr>
        <w:t>. Die Literatur ist sich jedoch einig, dass der Cannabiskonsum</w:t>
      </w:r>
      <w:r w:rsidR="005A430E" w:rsidRPr="0073153C">
        <w:rPr>
          <w:rFonts w:eastAsia="Times New Roman" w:cs="Times New Roman"/>
          <w:lang w:eastAsia="de-DE"/>
        </w:rPr>
        <w:t xml:space="preserve"> </w:t>
      </w:r>
      <w:r w:rsidR="00D94E78" w:rsidRPr="0073153C">
        <w:rPr>
          <w:rFonts w:eastAsia="Times New Roman" w:cs="Times New Roman"/>
          <w:lang w:eastAsia="de-DE"/>
        </w:rPr>
        <w:t xml:space="preserve">die Entstehung </w:t>
      </w:r>
      <w:r w:rsidRPr="0073153C">
        <w:rPr>
          <w:rFonts w:eastAsia="Times New Roman" w:cs="Times New Roman"/>
          <w:lang w:eastAsia="de-DE"/>
        </w:rPr>
        <w:t>von Schizophrenie und weiteren</w:t>
      </w:r>
      <w:r w:rsidR="00D94E78" w:rsidRPr="0073153C">
        <w:rPr>
          <w:rFonts w:eastAsia="Times New Roman" w:cs="Times New Roman"/>
          <w:lang w:eastAsia="de-DE"/>
        </w:rPr>
        <w:t xml:space="preserve"> fungierenden</w:t>
      </w:r>
      <w:r w:rsidRPr="0073153C">
        <w:rPr>
          <w:rFonts w:eastAsia="Times New Roman" w:cs="Times New Roman"/>
          <w:lang w:eastAsia="de-DE"/>
        </w:rPr>
        <w:t xml:space="preserve"> Risikofaktoren</w:t>
      </w:r>
      <w:r w:rsidR="00D94E78" w:rsidRPr="0073153C">
        <w:rPr>
          <w:rFonts w:eastAsia="Times New Roman" w:cs="Times New Roman"/>
          <w:lang w:eastAsia="de-DE"/>
        </w:rPr>
        <w:t xml:space="preserve"> </w:t>
      </w:r>
      <w:r w:rsidRPr="0073153C">
        <w:rPr>
          <w:rFonts w:eastAsia="Times New Roman" w:cs="Times New Roman"/>
          <w:lang w:eastAsia="de-DE"/>
        </w:rPr>
        <w:t>begünstig</w:t>
      </w:r>
      <w:r w:rsidR="000A7BF3" w:rsidRPr="0073153C">
        <w:rPr>
          <w:rFonts w:eastAsia="Times New Roman" w:cs="Times New Roman"/>
          <w:lang w:eastAsia="de-DE"/>
        </w:rPr>
        <w:t xml:space="preserve"> (Ortiz-Medina et al., </w:t>
      </w:r>
      <w:r w:rsidR="00DA442F" w:rsidRPr="0073153C">
        <w:rPr>
          <w:rFonts w:eastAsia="Times New Roman" w:cs="Times New Roman"/>
          <w:lang w:eastAsia="de-DE"/>
        </w:rPr>
        <w:t>2018; Roser</w:t>
      </w:r>
      <w:r w:rsidR="000A7BF3" w:rsidRPr="0073153C">
        <w:rPr>
          <w:rFonts w:eastAsia="Times New Roman" w:cs="Times New Roman"/>
          <w:lang w:eastAsia="de-DE"/>
        </w:rPr>
        <w:t xml:space="preserve">, 2019). </w:t>
      </w:r>
      <w:r w:rsidRPr="0073153C">
        <w:rPr>
          <w:rFonts w:eastAsia="Times New Roman" w:cs="Times New Roman"/>
          <w:lang w:eastAsia="de-DE"/>
        </w:rPr>
        <w:t xml:space="preserve"> Zudem ist die Cannabiskonsumstörung (CUD) sowie der Cannabiskonsum unter Menschen, welche Symptomen einer Schizophreniestörung aufweisen häufig</w:t>
      </w:r>
      <w:r w:rsidR="00DA442F" w:rsidRPr="0073153C">
        <w:rPr>
          <w:rFonts w:eastAsia="Times New Roman" w:cs="Times New Roman"/>
          <w:lang w:eastAsia="de-DE"/>
        </w:rPr>
        <w:t xml:space="preserve"> (</w:t>
      </w:r>
      <w:proofErr w:type="spellStart"/>
      <w:r w:rsidR="00DA442F" w:rsidRPr="0073153C">
        <w:rPr>
          <w:rFonts w:eastAsia="Times New Roman" w:cs="Times New Roman"/>
          <w:lang w:eastAsia="de-DE"/>
        </w:rPr>
        <w:t>Hjorthøj</w:t>
      </w:r>
      <w:proofErr w:type="spellEnd"/>
      <w:r w:rsidR="00DA442F" w:rsidRPr="0073153C">
        <w:rPr>
          <w:rFonts w:eastAsia="Times New Roman" w:cs="Times New Roman"/>
          <w:lang w:eastAsia="de-DE"/>
        </w:rPr>
        <w:t xml:space="preserve"> et al., 2020). </w:t>
      </w:r>
    </w:p>
    <w:p w14:paraId="2AE16030" w14:textId="6DD87F87" w:rsidR="00244273" w:rsidRDefault="00244273" w:rsidP="006F210D">
      <w:pPr>
        <w:spacing w:line="360" w:lineRule="auto"/>
        <w:ind w:firstLine="708"/>
        <w:rPr>
          <w:rFonts w:eastAsia="Times New Roman" w:cs="Times New Roman"/>
          <w:lang w:eastAsia="de-DE"/>
        </w:rPr>
      </w:pPr>
      <w:r w:rsidRPr="0073153C">
        <w:rPr>
          <w:rFonts w:eastAsia="Times New Roman" w:cs="Times New Roman"/>
          <w:lang w:eastAsia="de-DE"/>
        </w:rPr>
        <w:t>Weltweit leiden</w:t>
      </w:r>
      <w:r w:rsidR="008572AC" w:rsidRPr="0073153C">
        <w:rPr>
          <w:rFonts w:eastAsia="Times New Roman" w:cs="Times New Roman"/>
          <w:lang w:eastAsia="de-DE"/>
        </w:rPr>
        <w:t xml:space="preserve"> 24 Millionen Menschen</w:t>
      </w:r>
      <w:r w:rsidRPr="0073153C">
        <w:rPr>
          <w:rFonts w:eastAsia="Times New Roman" w:cs="Times New Roman"/>
          <w:lang w:eastAsia="de-DE"/>
        </w:rPr>
        <w:t xml:space="preserve"> an Schizophrenie, welche zu den schwerwiegendsten psychischen S</w:t>
      </w:r>
      <w:r w:rsidR="00804898" w:rsidRPr="0073153C">
        <w:rPr>
          <w:rFonts w:eastAsia="Times New Roman" w:cs="Times New Roman"/>
          <w:lang w:eastAsia="de-DE"/>
        </w:rPr>
        <w:t>törungen gehört</w:t>
      </w:r>
      <w:r w:rsidR="00290740" w:rsidRPr="0073153C">
        <w:rPr>
          <w:rFonts w:eastAsia="Times New Roman" w:cs="Times New Roman"/>
          <w:lang w:eastAsia="de-DE"/>
        </w:rPr>
        <w:t xml:space="preserve"> </w:t>
      </w:r>
      <w:r w:rsidR="00804898" w:rsidRPr="0073153C">
        <w:rPr>
          <w:rFonts w:eastAsia="Times New Roman" w:cs="Times New Roman"/>
          <w:lang w:eastAsia="de-DE"/>
        </w:rPr>
        <w:t xml:space="preserve">(American </w:t>
      </w:r>
      <w:proofErr w:type="spellStart"/>
      <w:r w:rsidR="00804898" w:rsidRPr="0073153C">
        <w:rPr>
          <w:rFonts w:eastAsia="Times New Roman" w:cs="Times New Roman"/>
          <w:lang w:eastAsia="de-DE"/>
        </w:rPr>
        <w:t>Psychiatric</w:t>
      </w:r>
      <w:proofErr w:type="spellEnd"/>
      <w:r w:rsidR="00804898" w:rsidRPr="0073153C">
        <w:rPr>
          <w:rFonts w:eastAsia="Times New Roman" w:cs="Times New Roman"/>
          <w:lang w:eastAsia="de-DE"/>
        </w:rPr>
        <w:t xml:space="preserve"> </w:t>
      </w:r>
      <w:proofErr w:type="spellStart"/>
      <w:r w:rsidR="00804898" w:rsidRPr="0073153C">
        <w:rPr>
          <w:rFonts w:eastAsia="Times New Roman" w:cs="Times New Roman"/>
          <w:lang w:eastAsia="de-DE"/>
        </w:rPr>
        <w:t>Association</w:t>
      </w:r>
      <w:proofErr w:type="spellEnd"/>
      <w:r w:rsidR="00804898" w:rsidRPr="0073153C">
        <w:rPr>
          <w:rFonts w:eastAsia="Times New Roman" w:cs="Times New Roman"/>
          <w:lang w:eastAsia="de-DE"/>
        </w:rPr>
        <w:t>, 20</w:t>
      </w:r>
      <w:r w:rsidR="0012791B" w:rsidRPr="0073153C">
        <w:rPr>
          <w:rFonts w:eastAsia="Times New Roman" w:cs="Times New Roman"/>
          <w:lang w:eastAsia="de-DE"/>
        </w:rPr>
        <w:t>20</w:t>
      </w:r>
      <w:r w:rsidR="00804898" w:rsidRPr="0073153C">
        <w:rPr>
          <w:rFonts w:eastAsia="Times New Roman" w:cs="Times New Roman"/>
          <w:lang w:eastAsia="de-DE"/>
        </w:rPr>
        <w:t>).</w:t>
      </w:r>
      <w:r w:rsidRPr="0073153C">
        <w:rPr>
          <w:rFonts w:eastAsia="Times New Roman" w:cs="Times New Roman"/>
          <w:lang w:eastAsia="de-DE"/>
        </w:rPr>
        <w:t xml:space="preserve"> </w:t>
      </w:r>
      <w:r w:rsidR="00804898" w:rsidRPr="0073153C">
        <w:rPr>
          <w:rFonts w:eastAsia="Times New Roman" w:cs="Times New Roman"/>
          <w:lang w:eastAsia="de-DE"/>
        </w:rPr>
        <w:t xml:space="preserve">Dies weist auf die Notwendigkeit </w:t>
      </w:r>
      <w:r w:rsidR="00290740" w:rsidRPr="0073153C">
        <w:rPr>
          <w:rFonts w:eastAsia="Times New Roman" w:cs="Times New Roman"/>
          <w:lang w:eastAsia="de-DE"/>
        </w:rPr>
        <w:t>sowie</w:t>
      </w:r>
      <w:r w:rsidR="00804898" w:rsidRPr="0073153C">
        <w:rPr>
          <w:rFonts w:eastAsia="Times New Roman" w:cs="Times New Roman"/>
          <w:lang w:eastAsia="de-DE"/>
        </w:rPr>
        <w:t xml:space="preserve"> das Ziel dieser Arbeit</w:t>
      </w:r>
      <w:r w:rsidR="00290740" w:rsidRPr="0073153C">
        <w:rPr>
          <w:rFonts w:eastAsia="Times New Roman" w:cs="Times New Roman"/>
          <w:lang w:eastAsia="de-DE"/>
        </w:rPr>
        <w:t xml:space="preserve"> hin.</w:t>
      </w:r>
      <w:r w:rsidR="00804898" w:rsidRPr="0073153C">
        <w:rPr>
          <w:rFonts w:eastAsia="Times New Roman" w:cs="Times New Roman"/>
          <w:lang w:eastAsia="de-DE"/>
        </w:rPr>
        <w:t xml:space="preserve"> </w:t>
      </w:r>
      <w:r w:rsidR="00290740" w:rsidRPr="0073153C">
        <w:rPr>
          <w:rFonts w:eastAsia="Times New Roman" w:cs="Times New Roman"/>
          <w:lang w:eastAsia="de-DE"/>
        </w:rPr>
        <w:t xml:space="preserve">Einen häufigen, empirischen identifizierten Risikofaktor </w:t>
      </w:r>
      <w:r w:rsidR="00804898" w:rsidRPr="0073153C">
        <w:rPr>
          <w:rFonts w:eastAsia="Times New Roman" w:cs="Times New Roman"/>
          <w:i/>
          <w:iCs/>
          <w:lang w:eastAsia="de-DE"/>
        </w:rPr>
        <w:t>der Konsum von Cannabis</w:t>
      </w:r>
      <w:r w:rsidR="00290740" w:rsidRPr="0073153C">
        <w:rPr>
          <w:rFonts w:eastAsia="Times New Roman" w:cs="Times New Roman"/>
          <w:lang w:eastAsia="de-DE"/>
        </w:rPr>
        <w:t xml:space="preserve"> und die</w:t>
      </w:r>
      <w:r w:rsidR="00804898" w:rsidRPr="0073153C">
        <w:rPr>
          <w:rFonts w:eastAsia="Times New Roman" w:cs="Times New Roman"/>
          <w:lang w:eastAsia="de-DE"/>
        </w:rPr>
        <w:t xml:space="preserve"> Assoziierung zur Schizophrenie zu analysieren. </w:t>
      </w:r>
    </w:p>
    <w:p w14:paraId="25A14299" w14:textId="77777777" w:rsidR="008934C7" w:rsidRPr="008934C7" w:rsidRDefault="008934C7" w:rsidP="00615630">
      <w:pPr>
        <w:spacing w:line="360" w:lineRule="auto"/>
        <w:jc w:val="center"/>
        <w:rPr>
          <w:rFonts w:eastAsia="Times New Roman" w:cs="Times New Roman"/>
          <w:color w:val="000000" w:themeColor="text1"/>
          <w:lang w:eastAsia="de-DE"/>
        </w:rPr>
      </w:pPr>
    </w:p>
    <w:p w14:paraId="77BA9EBE" w14:textId="757D36B1" w:rsidR="00804898" w:rsidRPr="007B2DE4" w:rsidRDefault="005A430E" w:rsidP="007B2DE4">
      <w:pPr>
        <w:spacing w:line="360" w:lineRule="auto"/>
        <w:jc w:val="center"/>
        <w:rPr>
          <w:rFonts w:eastAsia="Times New Roman"/>
          <w:color w:val="000000" w:themeColor="text1"/>
          <w:lang w:eastAsia="de-DE"/>
        </w:rPr>
      </w:pPr>
      <w:bookmarkStart w:id="2" w:name="_Toc116642115"/>
      <w:r w:rsidRPr="008934C7">
        <w:rPr>
          <w:rStyle w:val="berschrift1Zchn"/>
          <w:rFonts w:ascii="Times" w:hAnsi="Times"/>
          <w:color w:val="000000" w:themeColor="text1"/>
          <w:sz w:val="24"/>
          <w:szCs w:val="24"/>
        </w:rPr>
        <w:t>Schizophrenie-Spektrum und andere psychotischen</w:t>
      </w:r>
      <w:bookmarkEnd w:id="2"/>
      <w:r w:rsidRPr="008934C7">
        <w:rPr>
          <w:rFonts w:eastAsia="Times New Roman"/>
          <w:color w:val="000000" w:themeColor="text1"/>
          <w:lang w:eastAsia="de-DE"/>
        </w:rPr>
        <w:t xml:space="preserve"> Störungen</w:t>
      </w:r>
    </w:p>
    <w:p w14:paraId="0068F53D" w14:textId="77777777" w:rsidR="00C27D02" w:rsidRPr="0073153C" w:rsidRDefault="00C609A7" w:rsidP="008934C7">
      <w:pPr>
        <w:spacing w:line="360" w:lineRule="auto"/>
        <w:rPr>
          <w:lang w:eastAsia="de-DE"/>
        </w:rPr>
      </w:pPr>
      <w:r w:rsidRPr="0073153C">
        <w:rPr>
          <w:lang w:eastAsia="de-DE"/>
        </w:rPr>
        <w:t>Psychotische Störungen, schizophrene Psychosen sowie Psychosen werden in der Literatur als Sammelbegriffe</w:t>
      </w:r>
      <w:r w:rsidR="00136830" w:rsidRPr="0073153C">
        <w:rPr>
          <w:lang w:eastAsia="de-DE"/>
        </w:rPr>
        <w:t xml:space="preserve"> verwendet</w:t>
      </w:r>
      <w:r w:rsidRPr="0073153C">
        <w:rPr>
          <w:lang w:eastAsia="de-DE"/>
        </w:rPr>
        <w:t xml:space="preserve"> </w:t>
      </w:r>
      <w:r w:rsidR="00136830" w:rsidRPr="0073153C">
        <w:rPr>
          <w:lang w:eastAsia="de-DE"/>
        </w:rPr>
        <w:t xml:space="preserve">für die vom Diagnostischen und Statistischen Manual Psychischer Störungen fünfte Auflage (DSM-5) definierten Erkrankungen auf dem Schizophrenie-Spektrum und andere psychotischen Störungen wie die Schizophrenie. </w:t>
      </w:r>
    </w:p>
    <w:p w14:paraId="03F0472B" w14:textId="5CFD6718" w:rsidR="00F33A24" w:rsidRPr="0073153C" w:rsidRDefault="00136830" w:rsidP="00615630">
      <w:pPr>
        <w:spacing w:line="360" w:lineRule="auto"/>
        <w:ind w:firstLine="708"/>
        <w:rPr>
          <w:lang w:eastAsia="de-DE"/>
        </w:rPr>
      </w:pPr>
      <w:r w:rsidRPr="0073153C">
        <w:rPr>
          <w:lang w:eastAsia="de-DE"/>
        </w:rPr>
        <w:lastRenderedPageBreak/>
        <w:t>Die Symptom</w:t>
      </w:r>
      <w:r w:rsidR="007A2A60" w:rsidRPr="0073153C">
        <w:rPr>
          <w:lang w:eastAsia="de-DE"/>
        </w:rPr>
        <w:t>atik</w:t>
      </w:r>
      <w:r w:rsidRPr="0073153C">
        <w:rPr>
          <w:lang w:eastAsia="de-DE"/>
        </w:rPr>
        <w:t xml:space="preserve"> </w:t>
      </w:r>
      <w:r w:rsidR="007A2A60" w:rsidRPr="0073153C">
        <w:rPr>
          <w:lang w:eastAsia="de-DE"/>
        </w:rPr>
        <w:t>psychotischer Störungen gliedert sich in die Positivsymptome, Halluzinationen (akustische Halluzinationen), Wahn</w:t>
      </w:r>
      <w:r w:rsidR="00D94E78" w:rsidRPr="0073153C">
        <w:rPr>
          <w:lang w:eastAsia="de-DE"/>
        </w:rPr>
        <w:t xml:space="preserve"> (Wahnvorstellungen)</w:t>
      </w:r>
      <w:r w:rsidR="007A2A60" w:rsidRPr="0073153C">
        <w:rPr>
          <w:lang w:eastAsia="de-DE"/>
        </w:rPr>
        <w:t xml:space="preserve">, desorganisiertes Denken und Verhalten oder gestörte Motorik sowie in die Negativsymptomatik. </w:t>
      </w:r>
    </w:p>
    <w:p w14:paraId="61DE43B8" w14:textId="3AFC6E86" w:rsidR="00950A48" w:rsidRPr="00BD253C" w:rsidRDefault="007A2A60" w:rsidP="008934C7">
      <w:pPr>
        <w:spacing w:line="360" w:lineRule="auto"/>
        <w:rPr>
          <w:rStyle w:val="IntensiveHervorhebung"/>
          <w:i w:val="0"/>
          <w:iCs w:val="0"/>
          <w:color w:val="auto"/>
          <w:lang w:eastAsia="de-DE"/>
        </w:rPr>
      </w:pPr>
      <w:r w:rsidRPr="0073153C">
        <w:rPr>
          <w:lang w:eastAsia="de-DE"/>
        </w:rPr>
        <w:t xml:space="preserve">Unter Negativsymptomen versteht man die </w:t>
      </w:r>
      <w:proofErr w:type="spellStart"/>
      <w:r w:rsidR="00C47F7E" w:rsidRPr="0073153C">
        <w:rPr>
          <w:lang w:eastAsia="de-DE"/>
        </w:rPr>
        <w:t>Alogie</w:t>
      </w:r>
      <w:proofErr w:type="spellEnd"/>
      <w:r w:rsidR="00C47F7E" w:rsidRPr="0073153C">
        <w:rPr>
          <w:lang w:eastAsia="de-DE"/>
        </w:rPr>
        <w:t xml:space="preserve"> (Spracharmut), Affektverflachung, </w:t>
      </w:r>
      <w:proofErr w:type="spellStart"/>
      <w:r w:rsidR="00C47F7E" w:rsidRPr="0073153C">
        <w:rPr>
          <w:lang w:eastAsia="de-DE"/>
        </w:rPr>
        <w:t>Asozialität</w:t>
      </w:r>
      <w:proofErr w:type="spellEnd"/>
      <w:r w:rsidR="00C47F7E" w:rsidRPr="0073153C">
        <w:rPr>
          <w:lang w:eastAsia="de-DE"/>
        </w:rPr>
        <w:t xml:space="preserve"> (reduzierte soziale Interaktion wegen Desinteresse), Anhedonie (reduzierter Ausdruck von Freude) sowie die </w:t>
      </w:r>
      <w:proofErr w:type="spellStart"/>
      <w:r w:rsidR="00C47F7E" w:rsidRPr="0073153C">
        <w:rPr>
          <w:lang w:eastAsia="de-DE"/>
        </w:rPr>
        <w:t>Avolition</w:t>
      </w:r>
      <w:proofErr w:type="spellEnd"/>
      <w:r w:rsidR="00C47F7E" w:rsidRPr="0073153C">
        <w:rPr>
          <w:lang w:eastAsia="de-DE"/>
        </w:rPr>
        <w:t xml:space="preserve"> (reduzierte Fähigkeit von zielorientierten Handlungen</w:t>
      </w:r>
      <w:r w:rsidR="00D94E78" w:rsidRPr="0073153C">
        <w:rPr>
          <w:lang w:eastAsia="de-DE"/>
        </w:rPr>
        <w:t>)</w:t>
      </w:r>
      <w:r w:rsidRPr="0073153C">
        <w:rPr>
          <w:lang w:eastAsia="de-DE"/>
        </w:rPr>
        <w:t xml:space="preserve"> (American </w:t>
      </w:r>
      <w:proofErr w:type="spellStart"/>
      <w:r w:rsidRPr="0073153C">
        <w:rPr>
          <w:lang w:eastAsia="de-DE"/>
        </w:rPr>
        <w:t>Psychiatric</w:t>
      </w:r>
      <w:proofErr w:type="spellEnd"/>
      <w:r w:rsidRPr="0073153C">
        <w:rPr>
          <w:lang w:eastAsia="de-DE"/>
        </w:rPr>
        <w:t xml:space="preserve"> </w:t>
      </w:r>
      <w:proofErr w:type="spellStart"/>
      <w:r w:rsidRPr="0073153C">
        <w:rPr>
          <w:lang w:eastAsia="de-DE"/>
        </w:rPr>
        <w:t>Association</w:t>
      </w:r>
      <w:proofErr w:type="spellEnd"/>
      <w:r w:rsidRPr="0073153C">
        <w:rPr>
          <w:lang w:eastAsia="de-DE"/>
        </w:rPr>
        <w:t>, 20</w:t>
      </w:r>
      <w:r w:rsidR="0012791B" w:rsidRPr="0073153C">
        <w:rPr>
          <w:lang w:eastAsia="de-DE"/>
        </w:rPr>
        <w:t>20</w:t>
      </w:r>
      <w:r w:rsidRPr="0073153C">
        <w:rPr>
          <w:lang w:eastAsia="de-DE"/>
        </w:rPr>
        <w:t>).</w:t>
      </w:r>
      <w:r w:rsidR="00BD253C">
        <w:rPr>
          <w:lang w:eastAsia="de-DE"/>
        </w:rPr>
        <w:t xml:space="preserve"> Die Symptomatik ist zudem mindestens einmal pro Woche während mindestens einem Monat präsent </w:t>
      </w:r>
      <w:r w:rsidR="00BD253C" w:rsidRPr="0073153C">
        <w:rPr>
          <w:lang w:eastAsia="de-DE"/>
        </w:rPr>
        <w:t xml:space="preserve">(American </w:t>
      </w:r>
      <w:proofErr w:type="spellStart"/>
      <w:r w:rsidR="00BD253C" w:rsidRPr="0073153C">
        <w:rPr>
          <w:lang w:eastAsia="de-DE"/>
        </w:rPr>
        <w:t>Psychiatric</w:t>
      </w:r>
      <w:proofErr w:type="spellEnd"/>
      <w:r w:rsidR="00BD253C" w:rsidRPr="0073153C">
        <w:rPr>
          <w:lang w:eastAsia="de-DE"/>
        </w:rPr>
        <w:t xml:space="preserve"> </w:t>
      </w:r>
      <w:proofErr w:type="spellStart"/>
      <w:r w:rsidR="00BD253C" w:rsidRPr="0073153C">
        <w:rPr>
          <w:lang w:eastAsia="de-DE"/>
        </w:rPr>
        <w:t>Association</w:t>
      </w:r>
      <w:proofErr w:type="spellEnd"/>
      <w:r w:rsidR="00BD253C" w:rsidRPr="0073153C">
        <w:rPr>
          <w:lang w:eastAsia="de-DE"/>
        </w:rPr>
        <w:t>, 2020).</w:t>
      </w:r>
      <w:r w:rsidR="00BD253C">
        <w:rPr>
          <w:lang w:eastAsia="de-DE"/>
        </w:rPr>
        <w:t xml:space="preserve"> </w:t>
      </w:r>
      <w:r w:rsidR="00804898" w:rsidRPr="0073153C">
        <w:rPr>
          <w:lang w:eastAsia="de-DE"/>
        </w:rPr>
        <w:t>Erkrankungen auf dem Schizophrenie-Spektrum und andere psychotischen Störungen</w:t>
      </w:r>
      <w:r w:rsidR="00D94E78" w:rsidRPr="0073153C">
        <w:rPr>
          <w:lang w:eastAsia="de-DE"/>
        </w:rPr>
        <w:t xml:space="preserve"> zählen zu den schwerwiegendsten (American </w:t>
      </w:r>
      <w:proofErr w:type="spellStart"/>
      <w:r w:rsidR="00D94E78" w:rsidRPr="0073153C">
        <w:rPr>
          <w:lang w:eastAsia="de-DE"/>
        </w:rPr>
        <w:t>Psychiatric</w:t>
      </w:r>
      <w:proofErr w:type="spellEnd"/>
      <w:r w:rsidR="00D94E78" w:rsidRPr="0073153C">
        <w:rPr>
          <w:lang w:eastAsia="de-DE"/>
        </w:rPr>
        <w:t xml:space="preserve"> </w:t>
      </w:r>
      <w:proofErr w:type="spellStart"/>
      <w:r w:rsidR="00D94E78" w:rsidRPr="0073153C">
        <w:rPr>
          <w:lang w:eastAsia="de-DE"/>
        </w:rPr>
        <w:t>Association</w:t>
      </w:r>
      <w:proofErr w:type="spellEnd"/>
      <w:r w:rsidR="00D94E78" w:rsidRPr="0073153C">
        <w:rPr>
          <w:lang w:eastAsia="de-DE"/>
        </w:rPr>
        <w:t>, 2020).</w:t>
      </w:r>
    </w:p>
    <w:p w14:paraId="77CE0AE2" w14:textId="0BC93A98" w:rsidR="00A5573F" w:rsidRDefault="00A5573F" w:rsidP="008934C7">
      <w:pPr>
        <w:pStyle w:val="berschrift1"/>
        <w:jc w:val="center"/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</w:pPr>
      <w:bookmarkStart w:id="3" w:name="_Toc116642116"/>
      <w:r w:rsidRPr="0073153C"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  <w:t>Studie</w:t>
      </w:r>
      <w:bookmarkEnd w:id="3"/>
    </w:p>
    <w:p w14:paraId="41D9825B" w14:textId="77777777" w:rsidR="00DA2FB1" w:rsidRPr="00DA2FB1" w:rsidRDefault="00DA2FB1" w:rsidP="00DA2FB1"/>
    <w:p w14:paraId="392B182D" w14:textId="62F1DCB4" w:rsidR="00B12F7F" w:rsidRPr="0073153C" w:rsidRDefault="005D3AE3" w:rsidP="001A4FBF">
      <w:pPr>
        <w:spacing w:line="360" w:lineRule="auto"/>
        <w:ind w:firstLine="708"/>
        <w:rPr>
          <w:rStyle w:val="IntensiveHervorhebung"/>
          <w:i w:val="0"/>
          <w:iCs w:val="0"/>
          <w:color w:val="000000" w:themeColor="text1"/>
        </w:rPr>
      </w:pPr>
      <w:r w:rsidRPr="0073153C">
        <w:t xml:space="preserve">Diverse empirische Studien weisen auf, dass der Konsum von Cannabis die Entstehung der psychischen Störung </w:t>
      </w:r>
      <w:r w:rsidRPr="0073153C">
        <w:rPr>
          <w:i/>
          <w:iCs/>
        </w:rPr>
        <w:t>Schizophrenie</w:t>
      </w:r>
      <w:r w:rsidRPr="0073153C">
        <w:t xml:space="preserve"> </w:t>
      </w:r>
      <w:r w:rsidR="001D6C99" w:rsidRPr="0073153C">
        <w:t>begünstigt,</w:t>
      </w:r>
      <w:r w:rsidRPr="0073153C">
        <w:t xml:space="preserve"> und stellen ihn als Risikofaktor dar (</w:t>
      </w:r>
      <w:r w:rsidR="004441C7" w:rsidRPr="0073153C">
        <w:t xml:space="preserve">Marconi et al.,2016; </w:t>
      </w:r>
      <w:r w:rsidRPr="0073153C">
        <w:t>Ortiz-Medina et al., 2018</w:t>
      </w:r>
      <w:r w:rsidR="001D6C99" w:rsidRPr="0073153C">
        <w:t xml:space="preserve">; </w:t>
      </w:r>
      <w:r w:rsidRPr="0073153C">
        <w:t>Roser, 2019)</w:t>
      </w:r>
      <w:r w:rsidR="001D6C99" w:rsidRPr="0073153C">
        <w:t>. Sowohl die Menge wie auch das Alter beim erstmaligen Konsum von Cannabis</w:t>
      </w:r>
      <w:r w:rsidR="00DA2FB1">
        <w:t xml:space="preserve"> </w:t>
      </w:r>
      <w:r w:rsidR="001D6C99" w:rsidRPr="0073153C">
        <w:t>wurden identifiziert mit der Assoziierung von psychotischen Erkrankungen (Roser, 2019). Die</w:t>
      </w:r>
      <w:r w:rsidR="004441C7" w:rsidRPr="0073153C">
        <w:t xml:space="preserve"> </w:t>
      </w:r>
      <w:r w:rsidR="00924462" w:rsidRPr="0073153C">
        <w:t xml:space="preserve">Studie </w:t>
      </w:r>
      <w:r w:rsidR="00924462" w:rsidRPr="0073153C">
        <w:rPr>
          <w:i/>
          <w:iCs/>
        </w:rPr>
        <w:t xml:space="preserve">Cannabis </w:t>
      </w:r>
      <w:proofErr w:type="spellStart"/>
      <w:r w:rsidR="00924462" w:rsidRPr="0073153C">
        <w:rPr>
          <w:i/>
          <w:iCs/>
        </w:rPr>
        <w:t>use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is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associated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with</w:t>
      </w:r>
      <w:proofErr w:type="spellEnd"/>
      <w:r w:rsidR="00924462" w:rsidRPr="0073153C">
        <w:rPr>
          <w:i/>
          <w:iCs/>
        </w:rPr>
        <w:t xml:space="preserve"> 3 </w:t>
      </w:r>
      <w:proofErr w:type="spellStart"/>
      <w:r w:rsidR="00924462" w:rsidRPr="0073153C">
        <w:rPr>
          <w:i/>
          <w:iCs/>
        </w:rPr>
        <w:t>years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earlier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onset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of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schizophrenia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spectrum</w:t>
      </w:r>
      <w:proofErr w:type="spellEnd"/>
      <w:r w:rsidR="00924462" w:rsidRPr="0073153C">
        <w:rPr>
          <w:i/>
          <w:iCs/>
        </w:rPr>
        <w:t xml:space="preserve"> </w:t>
      </w:r>
      <w:proofErr w:type="spellStart"/>
      <w:r w:rsidR="00924462" w:rsidRPr="0073153C">
        <w:rPr>
          <w:i/>
          <w:iCs/>
        </w:rPr>
        <w:t>disorder</w:t>
      </w:r>
      <w:proofErr w:type="spellEnd"/>
      <w:r w:rsidR="00924462" w:rsidRPr="0073153C">
        <w:rPr>
          <w:i/>
          <w:iCs/>
        </w:rPr>
        <w:t xml:space="preserve"> in a </w:t>
      </w:r>
      <w:proofErr w:type="spellStart"/>
      <w:r w:rsidR="00924462" w:rsidRPr="0073153C">
        <w:rPr>
          <w:i/>
          <w:iCs/>
        </w:rPr>
        <w:t>naturalistic</w:t>
      </w:r>
      <w:proofErr w:type="spellEnd"/>
      <w:r w:rsidR="00924462" w:rsidRPr="0073153C">
        <w:rPr>
          <w:i/>
          <w:iCs/>
        </w:rPr>
        <w:t xml:space="preserve">, multi-site sample (N=1119) </w:t>
      </w:r>
      <w:r w:rsidR="00924462" w:rsidRPr="0073153C">
        <w:t>von Helle und Kollegen (2016) prüfte den Zusammenhang zwischen dem Erkrankungsalter von Schizophrenie-Spektrum Störungen</w:t>
      </w:r>
      <w:r w:rsidR="00F5048E" w:rsidRPr="0073153C">
        <w:t xml:space="preserve"> und dem Substanzkonsum von Cannabis.</w:t>
      </w:r>
      <w:r w:rsidR="00A80111" w:rsidRPr="0073153C">
        <w:t xml:space="preserve"> Das Ziel der Autoren war es, die Unklarheit zwischen dem Eintrittsalter von Schizophrenie-Spektrum Störung und Substanzkonsum unter</w:t>
      </w:r>
      <w:r w:rsidR="00DA2FB1">
        <w:t xml:space="preserve"> </w:t>
      </w:r>
      <w:r w:rsidR="00A80111" w:rsidRPr="0073153C">
        <w:t xml:space="preserve">anderem Cannabis und ein möglicher früher Krankheitsbeginn zu identifizieren. </w:t>
      </w:r>
      <w:r w:rsidR="003B25E1" w:rsidRPr="0073153C">
        <w:t>Dafür wurde eine grosse sowie heterogene Multi-Site Stichprobe von Menschen, welche Symptome einer Schizophrenie Diagnose aufweisen</w:t>
      </w:r>
      <w:r w:rsidR="00DA2FB1">
        <w:t>,</w:t>
      </w:r>
      <w:r w:rsidR="003B25E1" w:rsidRPr="0073153C">
        <w:t xml:space="preserve"> einbezogen. </w:t>
      </w:r>
    </w:p>
    <w:p w14:paraId="5924D2E0" w14:textId="49225F39" w:rsidR="00A5573F" w:rsidRPr="0073153C" w:rsidRDefault="00A5573F" w:rsidP="008934C7">
      <w:pPr>
        <w:pStyle w:val="berschrift2"/>
        <w:jc w:val="center"/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</w:pPr>
      <w:bookmarkStart w:id="4" w:name="_Toc116642117"/>
      <w:r w:rsidRPr="0073153C"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  <w:t>Fragestellung</w:t>
      </w:r>
      <w:bookmarkEnd w:id="4"/>
    </w:p>
    <w:p w14:paraId="39277937" w14:textId="77777777" w:rsidR="00C27D02" w:rsidRPr="0073153C" w:rsidRDefault="00C27D02" w:rsidP="008934C7"/>
    <w:p w14:paraId="0820D3C4" w14:textId="211ADDA0" w:rsidR="00112F95" w:rsidRDefault="00A80111" w:rsidP="00615630">
      <w:pPr>
        <w:spacing w:line="360" w:lineRule="auto"/>
        <w:ind w:firstLine="708"/>
      </w:pPr>
      <w:r w:rsidRPr="0073153C">
        <w:t>Für die Untersuchung</w:t>
      </w:r>
      <w:r w:rsidR="003B25E1" w:rsidRPr="0073153C">
        <w:t xml:space="preserve"> basierten </w:t>
      </w:r>
      <w:r w:rsidRPr="0073153C">
        <w:t>Helle</w:t>
      </w:r>
      <w:r w:rsidR="000403C8" w:rsidRPr="0073153C">
        <w:t xml:space="preserve"> </w:t>
      </w:r>
      <w:r w:rsidRPr="0073153C">
        <w:t xml:space="preserve">und Kollegen (2016) </w:t>
      </w:r>
      <w:r w:rsidR="003B25E1" w:rsidRPr="0073153C">
        <w:t>auf die Fragestellungen, dass zum Einem, der Zusammenhang zwischen Substanzkonsum sowie Alter bei Beginn der Erkrankung</w:t>
      </w:r>
      <w:r w:rsidR="00D35E3A">
        <w:t xml:space="preserve"> addiert und zum </w:t>
      </w:r>
      <w:r w:rsidR="003B25E1" w:rsidRPr="0073153C">
        <w:t xml:space="preserve">Einfluss von möglichen Störfaktoren, bei Schizophrenie-Spektrum- Störung </w:t>
      </w:r>
      <w:r w:rsidR="00D35E3A">
        <w:t>führt</w:t>
      </w:r>
      <w:r w:rsidR="003B25E1" w:rsidRPr="0073153C">
        <w:t xml:space="preserve">. </w:t>
      </w:r>
      <w:r w:rsidR="002E3353" w:rsidRPr="0073153C">
        <w:t xml:space="preserve">Zum </w:t>
      </w:r>
      <w:r w:rsidR="002E3353">
        <w:t>anderen</w:t>
      </w:r>
      <w:r w:rsidR="00DA2FB1">
        <w:t>,</w:t>
      </w:r>
      <w:r w:rsidR="005274D0" w:rsidRPr="0073153C">
        <w:t xml:space="preserve"> wollten die Autoren die </w:t>
      </w:r>
      <w:r w:rsidR="00B12F7F" w:rsidRPr="0073153C">
        <w:t>Auswirkungen und</w:t>
      </w:r>
      <w:r w:rsidR="005274D0" w:rsidRPr="0073153C">
        <w:t xml:space="preserve"> deren Zusammenhang von spezifischen Substanzkonsum, wie Cannabis, Kokain, Halluzinogene sowie Opiate untersuchen.</w:t>
      </w:r>
    </w:p>
    <w:p w14:paraId="4360119B" w14:textId="77777777" w:rsidR="00112F95" w:rsidRDefault="00112F95" w:rsidP="008934C7">
      <w:pPr>
        <w:spacing w:line="360" w:lineRule="auto"/>
      </w:pPr>
    </w:p>
    <w:p w14:paraId="54CC98B7" w14:textId="77777777" w:rsidR="00112F95" w:rsidRDefault="00112F95" w:rsidP="008934C7">
      <w:pPr>
        <w:spacing w:line="360" w:lineRule="auto"/>
      </w:pPr>
    </w:p>
    <w:p w14:paraId="40074B8C" w14:textId="579045A4" w:rsidR="004E3DD7" w:rsidRPr="008934C7" w:rsidRDefault="004E3DD7" w:rsidP="008934C7">
      <w:pPr>
        <w:pStyle w:val="berschrift2"/>
        <w:spacing w:line="360" w:lineRule="auto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5" w:name="_Toc116642118"/>
      <w:r w:rsidRPr="008934C7">
        <w:rPr>
          <w:rFonts w:ascii="Times" w:hAnsi="Times"/>
          <w:color w:val="000000" w:themeColor="text1"/>
          <w:sz w:val="24"/>
          <w:szCs w:val="24"/>
        </w:rPr>
        <w:t>Methode</w:t>
      </w:r>
      <w:bookmarkEnd w:id="5"/>
    </w:p>
    <w:p w14:paraId="7DE407C4" w14:textId="5C8D5BC9" w:rsidR="002E6699" w:rsidRPr="0073153C" w:rsidRDefault="0017783D" w:rsidP="00615630">
      <w:pPr>
        <w:spacing w:line="360" w:lineRule="auto"/>
        <w:ind w:firstLine="708"/>
      </w:pPr>
      <w:r w:rsidRPr="0073153C">
        <w:t>Teilnehmer der Studie wurden über die Datenbank drei verschiedener Forschungszentren in Norwegen rekrutiert. Darunter waren</w:t>
      </w:r>
      <w:r w:rsidR="00690822" w:rsidRPr="0073153C">
        <w:t xml:space="preserve"> die </w:t>
      </w:r>
      <w:proofErr w:type="spellStart"/>
      <w:r w:rsidR="00690822" w:rsidRPr="0073153C">
        <w:t>Thematically</w:t>
      </w:r>
      <w:proofErr w:type="spellEnd"/>
      <w:r w:rsidR="00690822" w:rsidRPr="0073153C">
        <w:t xml:space="preserve"> </w:t>
      </w:r>
      <w:proofErr w:type="spellStart"/>
      <w:r w:rsidR="00690822" w:rsidRPr="0073153C">
        <w:t>Organized</w:t>
      </w:r>
      <w:proofErr w:type="spellEnd"/>
      <w:r w:rsidR="00690822" w:rsidRPr="0073153C">
        <w:t xml:space="preserve"> </w:t>
      </w:r>
      <w:proofErr w:type="spellStart"/>
      <w:r w:rsidR="00690822" w:rsidRPr="0073153C">
        <w:t>Psychosis</w:t>
      </w:r>
      <w:proofErr w:type="spellEnd"/>
      <w:r w:rsidR="00690822" w:rsidRPr="0073153C">
        <w:t xml:space="preserve"> Study </w:t>
      </w:r>
      <w:r w:rsidRPr="0073153C">
        <w:t>(TOP-Studie</w:t>
      </w:r>
      <w:r w:rsidR="00690822" w:rsidRPr="0073153C">
        <w:t>) (</w:t>
      </w:r>
      <w:r w:rsidR="00690822" w:rsidRPr="00112F95">
        <w:rPr>
          <w:i/>
          <w:iCs/>
        </w:rPr>
        <w:t>n</w:t>
      </w:r>
      <w:r w:rsidR="00690822" w:rsidRPr="0073153C">
        <w:t xml:space="preserve">=873), 2001-2002; Early Treatment </w:t>
      </w:r>
      <w:proofErr w:type="spellStart"/>
      <w:r w:rsidR="00690822" w:rsidRPr="0073153C">
        <w:t>and</w:t>
      </w:r>
      <w:proofErr w:type="spellEnd"/>
      <w:r w:rsidR="00690822" w:rsidRPr="0073153C">
        <w:t xml:space="preserve"> Intervention in </w:t>
      </w:r>
      <w:proofErr w:type="spellStart"/>
      <w:r w:rsidR="00690822" w:rsidRPr="0073153C">
        <w:t>Psychosis</w:t>
      </w:r>
      <w:proofErr w:type="spellEnd"/>
      <w:r w:rsidR="00690822" w:rsidRPr="0073153C">
        <w:t xml:space="preserve"> (TIPS-II Studie), </w:t>
      </w:r>
      <w:proofErr w:type="spellStart"/>
      <w:r w:rsidR="00690822" w:rsidRPr="0073153C">
        <w:t>Rogland</w:t>
      </w:r>
      <w:proofErr w:type="spellEnd"/>
      <w:r w:rsidR="00690822" w:rsidRPr="0073153C">
        <w:t xml:space="preserve"> Region (</w:t>
      </w:r>
      <w:r w:rsidR="00690822" w:rsidRPr="00112F95">
        <w:rPr>
          <w:i/>
          <w:iCs/>
        </w:rPr>
        <w:t>n</w:t>
      </w:r>
      <w:r w:rsidR="00690822" w:rsidRPr="0073153C">
        <w:t xml:space="preserve">=185), 2001-2012 sowie Bergen </w:t>
      </w:r>
      <w:proofErr w:type="spellStart"/>
      <w:r w:rsidR="00690822" w:rsidRPr="0073153C">
        <w:t>Psychosis</w:t>
      </w:r>
      <w:proofErr w:type="spellEnd"/>
      <w:r w:rsidR="00690822" w:rsidRPr="0073153C">
        <w:t xml:space="preserve"> Project 2 (BP2 </w:t>
      </w:r>
      <w:r w:rsidR="00766946" w:rsidRPr="0073153C">
        <w:t>Studie) (</w:t>
      </w:r>
      <w:r w:rsidR="00690822" w:rsidRPr="00112F95">
        <w:rPr>
          <w:i/>
          <w:iCs/>
        </w:rPr>
        <w:t>n</w:t>
      </w:r>
      <w:r w:rsidR="00690822" w:rsidRPr="0073153C">
        <w:t>=71)</w:t>
      </w:r>
      <w:r w:rsidR="00766946" w:rsidRPr="0073153C">
        <w:t>, 2012-2013</w:t>
      </w:r>
      <w:r w:rsidR="00690822" w:rsidRPr="0073153C">
        <w:t>.</w:t>
      </w:r>
      <w:r w:rsidR="00766946" w:rsidRPr="0073153C">
        <w:t xml:space="preserve"> Die </w:t>
      </w:r>
      <w:proofErr w:type="spellStart"/>
      <w:r w:rsidR="00766946" w:rsidRPr="0073153C">
        <w:t>Einschlusskrieterin</w:t>
      </w:r>
      <w:proofErr w:type="spellEnd"/>
      <w:r w:rsidR="00766946" w:rsidRPr="0073153C">
        <w:t xml:space="preserve"> waren das Alter 18-65, der Wohnsitz in der jeweiligen Einzugsorten sowie einer der DSM-IV Diagnose von Schizophrenie, Schizophrenie Former Störung, schizoaffektive Störung, wahnhafte Störung, kurze psychotische Störung sowie die nicht anderweitig spezifizierte Psychose.</w:t>
      </w:r>
    </w:p>
    <w:p w14:paraId="645ECC51" w14:textId="3684B86E" w:rsidR="00E70678" w:rsidRPr="008934C7" w:rsidRDefault="002E6699" w:rsidP="008934C7">
      <w:pPr>
        <w:pStyle w:val="berschrift2"/>
        <w:spacing w:line="360" w:lineRule="auto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6" w:name="_Toc116642119"/>
      <w:r w:rsidRPr="008934C7">
        <w:rPr>
          <w:rFonts w:ascii="Times" w:hAnsi="Times"/>
          <w:color w:val="000000" w:themeColor="text1"/>
          <w:sz w:val="24"/>
          <w:szCs w:val="24"/>
        </w:rPr>
        <w:t>Klinisches Messverfahren</w:t>
      </w:r>
      <w:bookmarkEnd w:id="6"/>
    </w:p>
    <w:p w14:paraId="744FE3B5" w14:textId="6A3B4849" w:rsidR="00992A59" w:rsidRPr="005A51BF" w:rsidRDefault="00992A59" w:rsidP="008934C7">
      <w:pPr>
        <w:spacing w:line="360" w:lineRule="auto"/>
        <w:rPr>
          <w:i/>
          <w:iCs/>
          <w:sz w:val="16"/>
          <w:szCs w:val="16"/>
        </w:rPr>
      </w:pPr>
      <w:r w:rsidRPr="00992A59">
        <w:rPr>
          <w:i/>
          <w:iCs/>
        </w:rPr>
        <w:t xml:space="preserve">Tabelle 1 </w:t>
      </w:r>
    </w:p>
    <w:p w14:paraId="66B44D11" w14:textId="7E48A562" w:rsidR="00646A95" w:rsidRPr="005A51BF" w:rsidRDefault="008934C7" w:rsidP="008934C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FDADC4" wp14:editId="798EC387">
                <wp:simplePos x="0" y="0"/>
                <wp:positionH relativeFrom="column">
                  <wp:posOffset>9527060</wp:posOffset>
                </wp:positionH>
                <wp:positionV relativeFrom="paragraph">
                  <wp:posOffset>301298</wp:posOffset>
                </wp:positionV>
                <wp:extent cx="360" cy="360"/>
                <wp:effectExtent l="38100" t="38100" r="38100" b="3810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8B2A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749.45pt;margin-top:2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L6nf0agEAAAMDAAAOAAAAAAAAAAAAAAAAADwCAABkcnMvZTJv&#10;RG9jLnhtbFBLAQItABQABgAIAAAAIQA6qQTewgEAAGQEAAAQAAAAAAAAAAAAAAAAANIDAABkcnMv&#10;aW5rL2luazEueG1sUEsBAi0AFAAGAAgAAAAhAGloFFHiAAAAEAEAAA8AAAAAAAAAAAAAAAAAwg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 w:rsidR="00646A95" w:rsidRPr="005A51BF">
        <w:rPr>
          <w:sz w:val="16"/>
          <w:szCs w:val="16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6A95" w:rsidRPr="008934C7" w14:paraId="5E004DDD" w14:textId="77777777" w:rsidTr="00861C34"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431DC727" w14:textId="12C7DB86" w:rsidR="00646A95" w:rsidRPr="008934C7" w:rsidRDefault="00646A95" w:rsidP="008934C7">
            <w:r w:rsidRPr="008934C7">
              <w:t>Diagnosen</w:t>
            </w:r>
            <w:r w:rsidR="00F100FD" w:rsidRPr="008934C7">
              <w:t>: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686DF942" w14:textId="74AB291D" w:rsidR="00646A95" w:rsidRPr="008934C7" w:rsidRDefault="00992A59" w:rsidP="008934C7">
            <w:r w:rsidRPr="008934C7">
              <w:t xml:space="preserve">Durch das strukturierte klinische Interview für DSM-IV Module A-E </w:t>
            </w:r>
            <w:r w:rsidR="00F100FD" w:rsidRPr="008934C7">
              <w:t xml:space="preserve">(SCID) </w:t>
            </w:r>
            <w:r w:rsidRPr="008934C7">
              <w:t>von Psychologen gestellt.</w:t>
            </w:r>
          </w:p>
        </w:tc>
      </w:tr>
      <w:tr w:rsidR="00646A95" w:rsidRPr="008934C7" w14:paraId="28C19AE2" w14:textId="77777777" w:rsidTr="008934C7"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4CB7FEE9" w14:textId="113D5EBB" w:rsidR="00646A95" w:rsidRPr="008934C7" w:rsidRDefault="00646A95" w:rsidP="008934C7">
            <w:r w:rsidRPr="008934C7">
              <w:t xml:space="preserve">Messung psychotischen </w:t>
            </w:r>
            <w:r w:rsidR="00F100FD" w:rsidRPr="008934C7">
              <w:t>Symptomen: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49BB1280" w14:textId="6E6DDBFC" w:rsidR="00646A95" w:rsidRPr="008934C7" w:rsidRDefault="005A51BF" w:rsidP="008934C7">
            <w:r w:rsidRPr="008934C7">
              <w:t>Durch die Positiv-und Negativ-Syndrom Skala (PANSS) zu Beginn der Studie</w:t>
            </w:r>
            <w:r w:rsidR="001B5B21" w:rsidRPr="008934C7">
              <w:t>.</w:t>
            </w:r>
          </w:p>
        </w:tc>
      </w:tr>
      <w:tr w:rsidR="00646A95" w:rsidRPr="008934C7" w14:paraId="677D7619" w14:textId="77777777" w:rsidTr="008934C7"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0D10DC21" w14:textId="06593348" w:rsidR="00646A95" w:rsidRPr="008934C7" w:rsidRDefault="00646A95" w:rsidP="008934C7">
            <w:r w:rsidRPr="008934C7">
              <w:t>Ersterkrankungsalter</w:t>
            </w:r>
            <w:r w:rsidR="00F100FD" w:rsidRPr="008934C7">
              <w:t>: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5AD99030" w14:textId="4B1E8CC7" w:rsidR="00646A95" w:rsidRPr="008934C7" w:rsidRDefault="005A51BF" w:rsidP="008934C7">
            <w:r w:rsidRPr="008934C7">
              <w:t xml:space="preserve">Wurde definiert bei der ersten psychotischen Episode </w:t>
            </w:r>
            <w:r w:rsidR="00F473EA" w:rsidRPr="008934C7">
              <w:t>und/oder bei einem oder mehreren Kriterien der PANSS, welche mindestens für eine Woche andauernd sind</w:t>
            </w:r>
            <w:r w:rsidR="001B5B21" w:rsidRPr="008934C7">
              <w:t xml:space="preserve">. Bei 18 Patienten wurde das Alter definiert als die erste psychologische/psychiatrische Konsultation stattfand </w:t>
            </w:r>
          </w:p>
        </w:tc>
      </w:tr>
      <w:tr w:rsidR="00C635D4" w:rsidRPr="008934C7" w14:paraId="2F29A3FB" w14:textId="77777777" w:rsidTr="008934C7"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60519551" w14:textId="539524E4" w:rsidR="00C635D4" w:rsidRPr="008934C7" w:rsidRDefault="00C635D4" w:rsidP="008934C7">
            <w:r w:rsidRPr="008934C7">
              <w:t>Familienanamnese</w:t>
            </w:r>
            <w:r w:rsidR="00F100FD" w:rsidRPr="008934C7">
              <w:t>: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34DA20D0" w14:textId="16AE2BA7" w:rsidR="00C635D4" w:rsidRPr="008934C7" w:rsidRDefault="001B5B21" w:rsidP="008934C7">
            <w:r w:rsidRPr="008934C7">
              <w:t>Informationen über die Familienanamnese von Schizophrenie-Spektrum-Störungen und Bipolaren Erkrankungen bei Verwandten ersten Grades wurden durch Patientenbefragungen erhoben. Teilnehmer wurden auf eine familiäre Vorbelastung definiert, falls Verwandte ersten Grades</w:t>
            </w:r>
            <w:r w:rsidR="00F100FD" w:rsidRPr="008934C7">
              <w:t xml:space="preserve"> Symptome von</w:t>
            </w:r>
            <w:r w:rsidRPr="008934C7">
              <w:t xml:space="preserve"> eine der obigen Erkrankungen </w:t>
            </w:r>
            <w:r w:rsidR="00F100FD" w:rsidRPr="008934C7">
              <w:t>aufwiesen.</w:t>
            </w:r>
          </w:p>
        </w:tc>
      </w:tr>
      <w:tr w:rsidR="00C635D4" w:rsidRPr="008934C7" w14:paraId="5FE690EE" w14:textId="77777777" w:rsidTr="008934C7"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009DFF61" w14:textId="7A67E7B9" w:rsidR="00C635D4" w:rsidRPr="008934C7" w:rsidRDefault="00C635D4" w:rsidP="008934C7">
            <w:r w:rsidRPr="008934C7">
              <w:t>Substanzkonsum</w:t>
            </w:r>
            <w:r w:rsidR="00F100FD" w:rsidRPr="008934C7">
              <w:t>: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14:paraId="485AD693" w14:textId="1E4BB390" w:rsidR="00F100FD" w:rsidRPr="008934C7" w:rsidRDefault="00F100FD" w:rsidP="008934C7">
            <w:r w:rsidRPr="008934C7">
              <w:t xml:space="preserve">Substanzkonsum und </w:t>
            </w:r>
            <w:r w:rsidR="008934C7">
              <w:t>S</w:t>
            </w:r>
            <w:r w:rsidRPr="008934C7">
              <w:t>chwerengrad wurde über Interviews über Substanzkonsum, Urinproben, Verwendung von der klinischen Skala für Drogen-und Alkoholkonsum (DUS und AUS) erhoben. Die Diagnose von Abhängigkeitserkrankungen wurde über den SCID erhoben, wobei nur auf den Substanzkonsum sechs Monate vor Studienbeginn erfasst wurde und nicht der Lebenslangekonsum</w:t>
            </w:r>
            <w:r w:rsidR="00861C34">
              <w:t>.</w:t>
            </w:r>
          </w:p>
        </w:tc>
      </w:tr>
    </w:tbl>
    <w:p w14:paraId="616F83CA" w14:textId="28DAF0E4" w:rsidR="008934C7" w:rsidRPr="0073153C" w:rsidRDefault="00F100FD" w:rsidP="008934C7">
      <w:pPr>
        <w:spacing w:line="360" w:lineRule="auto"/>
      </w:pPr>
      <w:r w:rsidRPr="008934C7">
        <w:lastRenderedPageBreak/>
        <w:t>Teilnehmer wurden anschliessend in zwei Gruppen unterteilt</w:t>
      </w:r>
      <w:r w:rsidR="00D35E3A">
        <w:t xml:space="preserve"> die</w:t>
      </w:r>
      <w:r w:rsidRPr="008934C7">
        <w:t xml:space="preserve"> Substanzkonsum </w:t>
      </w:r>
      <w:r w:rsidR="00D35E3A">
        <w:t>-</w:t>
      </w:r>
      <w:r w:rsidRPr="008934C7">
        <w:t>und Abstinenzgruppe, wobei die Abstinenzgruppe kein Konsum von Cannabis und anderer illegaler Substanzen aufwies</w:t>
      </w:r>
      <w:r w:rsidR="001E7F6D" w:rsidRPr="008934C7">
        <w:t xml:space="preserve"> (Helle et al.,2016).</w:t>
      </w:r>
    </w:p>
    <w:p w14:paraId="3A242F91" w14:textId="09CDDFB0" w:rsidR="00CB2AEB" w:rsidRDefault="00CB2AEB" w:rsidP="008934C7">
      <w:pPr>
        <w:pStyle w:val="berschrift2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7" w:name="_Toc116642120"/>
      <w:r w:rsidRPr="008934C7">
        <w:rPr>
          <w:rFonts w:ascii="Times" w:hAnsi="Times"/>
          <w:color w:val="000000" w:themeColor="text1"/>
          <w:sz w:val="24"/>
          <w:szCs w:val="24"/>
        </w:rPr>
        <w:t>Statistische Analysen</w:t>
      </w:r>
      <w:bookmarkEnd w:id="7"/>
    </w:p>
    <w:p w14:paraId="3A0B137E" w14:textId="77777777" w:rsidR="00615630" w:rsidRPr="00615630" w:rsidRDefault="00615630" w:rsidP="00615630"/>
    <w:p w14:paraId="619A782F" w14:textId="46E79736" w:rsidR="006A73B0" w:rsidRPr="0073153C" w:rsidRDefault="00A66773" w:rsidP="00615630">
      <w:pPr>
        <w:spacing w:line="360" w:lineRule="auto"/>
        <w:ind w:firstLine="708"/>
      </w:pPr>
      <w:r w:rsidRPr="0073153C">
        <w:t xml:space="preserve">Die statistischen Analysen wurden </w:t>
      </w:r>
      <w:r w:rsidR="00553C39" w:rsidRPr="0073153C">
        <w:t xml:space="preserve">über </w:t>
      </w:r>
      <w:r w:rsidRPr="0073153C">
        <w:t>SPSS durchgeführt</w:t>
      </w:r>
      <w:r w:rsidR="008814DE" w:rsidRPr="0073153C">
        <w:t>, wobei d</w:t>
      </w:r>
      <w:r w:rsidR="00DA593C" w:rsidRPr="0073153C">
        <w:t>ie deskriptiven und kategorischen Variablen der Abstinenz-und-Konsumgruppe dargestellt und Unterschiede anhand unabhängiger t-Tests und Chi-Quadrat Analysen überprüft</w:t>
      </w:r>
      <w:r w:rsidR="008814DE" w:rsidRPr="0073153C">
        <w:t xml:space="preserve"> wurden</w:t>
      </w:r>
      <w:r w:rsidR="00DA593C" w:rsidRPr="0073153C">
        <w:t xml:space="preserve">. </w:t>
      </w:r>
      <w:proofErr w:type="spellStart"/>
      <w:r w:rsidR="008152DE" w:rsidRPr="0073153C">
        <w:t>Bivariate</w:t>
      </w:r>
      <w:proofErr w:type="spellEnd"/>
      <w:r w:rsidR="008152DE" w:rsidRPr="0073153C">
        <w:t xml:space="preserve"> Zusammenhänge der </w:t>
      </w:r>
      <w:proofErr w:type="spellStart"/>
      <w:r w:rsidR="0021796A" w:rsidRPr="0073153C">
        <w:t>Prädikatorvariabeln</w:t>
      </w:r>
      <w:proofErr w:type="spellEnd"/>
      <w:r w:rsidR="008152DE" w:rsidRPr="0073153C">
        <w:t xml:space="preserve"> wurden durch </w:t>
      </w:r>
      <w:r w:rsidR="00DA593C" w:rsidRPr="0073153C">
        <w:t xml:space="preserve">Pearson-Korrelationen </w:t>
      </w:r>
      <w:r w:rsidR="008152DE" w:rsidRPr="0073153C">
        <w:t>(</w:t>
      </w:r>
      <w:proofErr w:type="spellStart"/>
      <w:r w:rsidR="008152DE" w:rsidRPr="0073153C">
        <w:t>Pearson’s</w:t>
      </w:r>
      <w:proofErr w:type="spellEnd"/>
      <w:r w:rsidR="008152DE" w:rsidRPr="0073153C">
        <w:t xml:space="preserve"> r) dargestellt. </w:t>
      </w:r>
    </w:p>
    <w:p w14:paraId="78E1FA5B" w14:textId="47C6F937" w:rsidR="00344204" w:rsidRPr="008934C7" w:rsidRDefault="004E3DD7" w:rsidP="008934C7">
      <w:pPr>
        <w:pStyle w:val="berschrift2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8" w:name="_Toc116642121"/>
      <w:r w:rsidRPr="008934C7">
        <w:rPr>
          <w:rFonts w:ascii="Times" w:hAnsi="Times"/>
          <w:color w:val="000000" w:themeColor="text1"/>
          <w:sz w:val="24"/>
          <w:szCs w:val="24"/>
        </w:rPr>
        <w:t>Demographische Merkmale</w:t>
      </w:r>
      <w:bookmarkEnd w:id="8"/>
    </w:p>
    <w:p w14:paraId="03577765" w14:textId="77777777" w:rsidR="008D1532" w:rsidRPr="008D1532" w:rsidRDefault="008D1532" w:rsidP="008934C7">
      <w:pPr>
        <w:spacing w:line="360" w:lineRule="auto"/>
      </w:pPr>
    </w:p>
    <w:p w14:paraId="083B54F2" w14:textId="15D9BD14" w:rsidR="00622B59" w:rsidRPr="0073153C" w:rsidRDefault="00622B59" w:rsidP="008934C7">
      <w:pPr>
        <w:spacing w:line="360" w:lineRule="auto"/>
      </w:pPr>
      <w:r w:rsidRPr="0073153C">
        <w:t xml:space="preserve"> </w:t>
      </w:r>
      <w:r w:rsidRPr="00992A59">
        <w:rPr>
          <w:i/>
          <w:iCs/>
        </w:rPr>
        <w:t>In Abbildung 1</w:t>
      </w:r>
      <w:r w:rsidRPr="0073153C">
        <w:t xml:space="preserve"> ist die zusammenfassende Darstellung der Demographischen Merkmale und der klinischen Merkmale der Substanzkonsum und Abstinenzgruppe abgebildet.</w:t>
      </w:r>
    </w:p>
    <w:p w14:paraId="7F108D70" w14:textId="54AABD35" w:rsidR="00344204" w:rsidRPr="0073153C" w:rsidRDefault="00344204" w:rsidP="008934C7">
      <w:r w:rsidRPr="0073153C">
        <w:rPr>
          <w:noProof/>
          <w:lang w:eastAsia="de-CH"/>
        </w:rPr>
        <w:drawing>
          <wp:inline distT="0" distB="0" distL="0" distR="0" wp14:anchorId="1E77306F" wp14:editId="5CD5365C">
            <wp:extent cx="4067908" cy="5042735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75" cy="505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2CB2" w14:textId="7F18FD81" w:rsidR="00F05E1D" w:rsidRDefault="00553C39" w:rsidP="008934C7">
      <w:r w:rsidRPr="0073153C">
        <w:rPr>
          <w:i/>
          <w:iCs/>
        </w:rPr>
        <w:t>Abbildung1</w:t>
      </w:r>
      <w:r w:rsidRPr="0073153C">
        <w:t>.</w:t>
      </w:r>
      <w:r w:rsidR="00622B59" w:rsidRPr="0073153C">
        <w:t xml:space="preserve"> (Helle et al.,2016)</w:t>
      </w:r>
    </w:p>
    <w:p w14:paraId="6B00C589" w14:textId="77777777" w:rsidR="00861C34" w:rsidRDefault="00861C34" w:rsidP="008934C7">
      <w:pPr>
        <w:rPr>
          <w:rStyle w:val="IntensiveHervorhebung"/>
          <w:rFonts w:cstheme="minorHAnsi"/>
          <w:i w:val="0"/>
          <w:iCs w:val="0"/>
          <w:color w:val="000000" w:themeColor="text1"/>
        </w:rPr>
      </w:pPr>
    </w:p>
    <w:p w14:paraId="38E030E0" w14:textId="752A18A7" w:rsidR="00A5573F" w:rsidRPr="0073153C" w:rsidRDefault="00A5573F" w:rsidP="000662D2">
      <w:pPr>
        <w:pStyle w:val="berschrift2"/>
        <w:spacing w:line="360" w:lineRule="auto"/>
        <w:jc w:val="center"/>
        <w:rPr>
          <w:rStyle w:val="IntensiveHervorhebung"/>
          <w:rFonts w:ascii="Times" w:hAnsi="Times" w:cstheme="minorHAnsi"/>
          <w:i w:val="0"/>
          <w:iCs w:val="0"/>
          <w:color w:val="000000" w:themeColor="text1"/>
          <w:sz w:val="24"/>
          <w:szCs w:val="24"/>
        </w:rPr>
      </w:pPr>
      <w:bookmarkStart w:id="9" w:name="_Toc116642122"/>
      <w:r w:rsidRPr="0073153C">
        <w:rPr>
          <w:rStyle w:val="IntensiveHervorhebung"/>
          <w:rFonts w:ascii="Times" w:hAnsi="Times" w:cstheme="minorHAnsi"/>
          <w:i w:val="0"/>
          <w:iCs w:val="0"/>
          <w:color w:val="000000" w:themeColor="text1"/>
          <w:sz w:val="24"/>
          <w:szCs w:val="24"/>
        </w:rPr>
        <w:lastRenderedPageBreak/>
        <w:t>Ergebnisse</w:t>
      </w:r>
      <w:bookmarkEnd w:id="9"/>
    </w:p>
    <w:p w14:paraId="480F1401" w14:textId="3776E70C" w:rsidR="00F66A98" w:rsidRDefault="00F05E1D" w:rsidP="00615630">
      <w:pPr>
        <w:spacing w:line="360" w:lineRule="auto"/>
        <w:ind w:firstLine="708"/>
      </w:pPr>
      <w:r w:rsidRPr="0073153C">
        <w:t xml:space="preserve">Cannabis war die einzige Substanz, welche in einem signifikanten Zusammenhang mit Alter bei Beginn des Konsums (Beta =-,16, </w:t>
      </w:r>
      <w:r w:rsidR="00112F95" w:rsidRPr="00112F95">
        <w:rPr>
          <w:i/>
          <w:iCs/>
        </w:rPr>
        <w:t>p</w:t>
      </w:r>
      <w:r w:rsidR="00112F95">
        <w:rPr>
          <w:i/>
          <w:iCs/>
        </w:rPr>
        <w:t xml:space="preserve"> </w:t>
      </w:r>
      <w:r w:rsidR="00112F95">
        <w:t>&lt;</w:t>
      </w:r>
      <w:r w:rsidRPr="0073153C">
        <w:t xml:space="preserve"> </w:t>
      </w:r>
      <w:r w:rsidR="00112F95">
        <w:t>.</w:t>
      </w:r>
      <w:r w:rsidRPr="0073153C">
        <w:t>001</w:t>
      </w:r>
      <w:r w:rsidR="00112F95" w:rsidRPr="0073153C">
        <w:t>)</w:t>
      </w:r>
      <w:r w:rsidR="00112F95">
        <w:t>.</w:t>
      </w:r>
      <w:r w:rsidR="00112F95" w:rsidRPr="0073153C">
        <w:t xml:space="preserve"> Teilnehmer</w:t>
      </w:r>
      <w:r w:rsidRPr="0073153C">
        <w:t xml:space="preserve"> mit Substanzkonsum wiesen ein 2,9 Jahren früheren Krankheitsbeginn auf (M= 23, SD=7.1) gegenüber der Abstinenzgruppe (M=25, SD=9.7). Die anderen spezifischen Substanzen sowie das Geschlecht waren nicht mit dem Alter bei Beginn der Erkrankung assoziiert sowie wurde kein Zusammenhang zwischen der familiären Vorbelastung und Cannabiskonsum gefunden. </w:t>
      </w:r>
    </w:p>
    <w:p w14:paraId="7ED2ABC6" w14:textId="77777777" w:rsidR="00F66A98" w:rsidRPr="0073153C" w:rsidRDefault="00F66A98" w:rsidP="008934C7"/>
    <w:p w14:paraId="6EA7F970" w14:textId="021C9984" w:rsidR="00A416E8" w:rsidRDefault="00A416E8" w:rsidP="008934C7">
      <w:r w:rsidRPr="00992A59">
        <w:rPr>
          <w:i/>
          <w:iCs/>
        </w:rPr>
        <w:t xml:space="preserve">Tabelle </w:t>
      </w:r>
      <w:r w:rsidR="00AB6591" w:rsidRPr="00992A59">
        <w:rPr>
          <w:i/>
          <w:iCs/>
        </w:rPr>
        <w:t>2</w:t>
      </w:r>
      <w:r w:rsidR="00626B46" w:rsidRPr="00626B46">
        <w:t xml:space="preserve"> Bivariate </w:t>
      </w:r>
      <w:r w:rsidR="0028789E" w:rsidRPr="00626B46">
        <w:t>Korrelation</w:t>
      </w:r>
      <w:r w:rsidR="00626B46" w:rsidRPr="00626B46">
        <w:t xml:space="preserve"> (Pearson’s</w:t>
      </w:r>
      <w:r w:rsidR="00626B46">
        <w:t xml:space="preserve"> R)</w:t>
      </w:r>
    </w:p>
    <w:p w14:paraId="1E3A0440" w14:textId="77777777" w:rsidR="00A605CC" w:rsidRPr="00626B46" w:rsidRDefault="00A605CC" w:rsidP="008934C7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1394"/>
        <w:gridCol w:w="976"/>
        <w:gridCol w:w="777"/>
        <w:gridCol w:w="853"/>
        <w:gridCol w:w="1185"/>
        <w:gridCol w:w="720"/>
        <w:gridCol w:w="1131"/>
        <w:gridCol w:w="643"/>
      </w:tblGrid>
      <w:tr w:rsidR="0073153C" w:rsidRPr="00626B46" w14:paraId="7EE80ADE" w14:textId="3F587837" w:rsidTr="001B53C8">
        <w:trPr>
          <w:trHeight w:val="335"/>
        </w:trPr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14:paraId="6DA133FE" w14:textId="77777777" w:rsidR="00A416E8" w:rsidRPr="00626B46" w:rsidRDefault="00A416E8" w:rsidP="008934C7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5C548A5D" w14:textId="15453A5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Erkrankungsalter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 w14:paraId="324CEBA0" w14:textId="64C4CC1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Geschlecht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</w:tcBorders>
          </w:tcPr>
          <w:p w14:paraId="4BF82ACC" w14:textId="66E9A763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Alkohol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0A8EAD81" w14:textId="2A881F39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Cannabis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 w14:paraId="1EA2D5BA" w14:textId="55CDD783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Amphetamine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7EE0C52" w14:textId="7717F7B4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Kokain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325B9821" w14:textId="1E9DEF97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Halluzinanten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</w:tcPr>
          <w:p w14:paraId="4008AB06" w14:textId="1C36C9F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 xml:space="preserve">Opiate </w:t>
            </w:r>
          </w:p>
        </w:tc>
      </w:tr>
      <w:tr w:rsidR="0073153C" w:rsidRPr="00626B46" w14:paraId="4F7F27E1" w14:textId="2795E53D" w:rsidTr="001B53C8">
        <w:trPr>
          <w:trHeight w:val="335"/>
        </w:trPr>
        <w:tc>
          <w:tcPr>
            <w:tcW w:w="1393" w:type="dxa"/>
            <w:tcBorders>
              <w:top w:val="single" w:sz="4" w:space="0" w:color="000000"/>
            </w:tcBorders>
          </w:tcPr>
          <w:p w14:paraId="26F5E188" w14:textId="069D0492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Erkrankungsalter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41D9F40D" w14:textId="4D69078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14:paraId="617461CD" w14:textId="66E97A23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-.010</w:t>
            </w:r>
          </w:p>
        </w:tc>
        <w:tc>
          <w:tcPr>
            <w:tcW w:w="777" w:type="dxa"/>
            <w:tcBorders>
              <w:top w:val="single" w:sz="4" w:space="0" w:color="000000"/>
            </w:tcBorders>
          </w:tcPr>
          <w:p w14:paraId="48D8CF76" w14:textId="63475DB3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-0.59</w:t>
            </w:r>
          </w:p>
        </w:tc>
        <w:tc>
          <w:tcPr>
            <w:tcW w:w="853" w:type="dxa"/>
            <w:tcBorders>
              <w:top w:val="single" w:sz="4" w:space="0" w:color="000000"/>
            </w:tcBorders>
          </w:tcPr>
          <w:p w14:paraId="409BC17A" w14:textId="5AD1AE6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-.169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 w14:paraId="325A3678" w14:textId="28E65371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-.104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49E86891" w14:textId="2C5E9FD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-.113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14:paraId="74006DBF" w14:textId="180C6EA1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-.089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14:paraId="3C8829C1" w14:textId="0A479C47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-.084</w:t>
            </w:r>
          </w:p>
        </w:tc>
      </w:tr>
      <w:tr w:rsidR="0073153C" w:rsidRPr="00626B46" w14:paraId="4E68D098" w14:textId="4EB6ADB9" w:rsidTr="001B53C8">
        <w:trPr>
          <w:trHeight w:val="351"/>
        </w:trPr>
        <w:tc>
          <w:tcPr>
            <w:tcW w:w="1393" w:type="dxa"/>
          </w:tcPr>
          <w:p w14:paraId="5C29C75E" w14:textId="49583084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Geschlecht</w:t>
            </w:r>
          </w:p>
        </w:tc>
        <w:tc>
          <w:tcPr>
            <w:tcW w:w="1394" w:type="dxa"/>
          </w:tcPr>
          <w:p w14:paraId="49D238D0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20DA7156" w14:textId="27291ADC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777" w:type="dxa"/>
          </w:tcPr>
          <w:p w14:paraId="773AA7B0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14:paraId="203FF4AA" w14:textId="1DEC88E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-.108</w:t>
            </w:r>
          </w:p>
        </w:tc>
        <w:tc>
          <w:tcPr>
            <w:tcW w:w="1185" w:type="dxa"/>
          </w:tcPr>
          <w:p w14:paraId="5099DC9F" w14:textId="1E3BEAC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-.104</w:t>
            </w:r>
          </w:p>
        </w:tc>
        <w:tc>
          <w:tcPr>
            <w:tcW w:w="720" w:type="dxa"/>
          </w:tcPr>
          <w:p w14:paraId="39B1A8D0" w14:textId="46503236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-.101</w:t>
            </w:r>
          </w:p>
        </w:tc>
        <w:tc>
          <w:tcPr>
            <w:tcW w:w="1131" w:type="dxa"/>
          </w:tcPr>
          <w:p w14:paraId="6FA6005D" w14:textId="42474E89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-.124</w:t>
            </w:r>
          </w:p>
        </w:tc>
        <w:tc>
          <w:tcPr>
            <w:tcW w:w="643" w:type="dxa"/>
          </w:tcPr>
          <w:p w14:paraId="51337F87" w14:textId="1FD41A2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-.093</w:t>
            </w:r>
          </w:p>
        </w:tc>
      </w:tr>
      <w:tr w:rsidR="0073153C" w:rsidRPr="00626B46" w14:paraId="37BBEFE3" w14:textId="3FB03868" w:rsidTr="001B53C8">
        <w:trPr>
          <w:trHeight w:val="335"/>
        </w:trPr>
        <w:tc>
          <w:tcPr>
            <w:tcW w:w="1393" w:type="dxa"/>
          </w:tcPr>
          <w:p w14:paraId="261724C5" w14:textId="70A73879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Alkohol</w:t>
            </w:r>
          </w:p>
        </w:tc>
        <w:tc>
          <w:tcPr>
            <w:tcW w:w="1394" w:type="dxa"/>
          </w:tcPr>
          <w:p w14:paraId="60EA7354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1D574E96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</w:tcPr>
          <w:p w14:paraId="396E87A4" w14:textId="0491084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853" w:type="dxa"/>
          </w:tcPr>
          <w:p w14:paraId="60566C6D" w14:textId="6D95601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.242</w:t>
            </w:r>
          </w:p>
        </w:tc>
        <w:tc>
          <w:tcPr>
            <w:tcW w:w="1185" w:type="dxa"/>
          </w:tcPr>
          <w:p w14:paraId="6E8A873C" w14:textId="32466E07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.219</w:t>
            </w:r>
          </w:p>
        </w:tc>
        <w:tc>
          <w:tcPr>
            <w:tcW w:w="720" w:type="dxa"/>
          </w:tcPr>
          <w:p w14:paraId="5372E961" w14:textId="4278FF77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.245</w:t>
            </w:r>
          </w:p>
        </w:tc>
        <w:tc>
          <w:tcPr>
            <w:tcW w:w="1131" w:type="dxa"/>
          </w:tcPr>
          <w:p w14:paraId="7A700D52" w14:textId="4A1BC1D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.224</w:t>
            </w:r>
          </w:p>
        </w:tc>
        <w:tc>
          <w:tcPr>
            <w:tcW w:w="643" w:type="dxa"/>
          </w:tcPr>
          <w:p w14:paraId="6670C9DE" w14:textId="09EB363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.146</w:t>
            </w:r>
          </w:p>
        </w:tc>
      </w:tr>
      <w:tr w:rsidR="0073153C" w:rsidRPr="00626B46" w14:paraId="18B8C141" w14:textId="0FFD2C8F" w:rsidTr="001B53C8">
        <w:trPr>
          <w:trHeight w:val="335"/>
        </w:trPr>
        <w:tc>
          <w:tcPr>
            <w:tcW w:w="1393" w:type="dxa"/>
          </w:tcPr>
          <w:p w14:paraId="3FEE9CEC" w14:textId="117ABD00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Cannabis</w:t>
            </w:r>
          </w:p>
        </w:tc>
        <w:tc>
          <w:tcPr>
            <w:tcW w:w="1394" w:type="dxa"/>
          </w:tcPr>
          <w:p w14:paraId="4006F22F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6585D6DB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</w:tcPr>
          <w:p w14:paraId="5A906AF8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14:paraId="71649D02" w14:textId="6B679C8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1185" w:type="dxa"/>
          </w:tcPr>
          <w:p w14:paraId="3BE84BAA" w14:textId="1C249232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.533</w:t>
            </w:r>
          </w:p>
        </w:tc>
        <w:tc>
          <w:tcPr>
            <w:tcW w:w="720" w:type="dxa"/>
          </w:tcPr>
          <w:p w14:paraId="59AB8F00" w14:textId="17933A3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.490</w:t>
            </w:r>
          </w:p>
        </w:tc>
        <w:tc>
          <w:tcPr>
            <w:tcW w:w="1131" w:type="dxa"/>
          </w:tcPr>
          <w:p w14:paraId="2599CF77" w14:textId="165A6B0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.454</w:t>
            </w:r>
          </w:p>
        </w:tc>
        <w:tc>
          <w:tcPr>
            <w:tcW w:w="643" w:type="dxa"/>
          </w:tcPr>
          <w:p w14:paraId="7EA3146E" w14:textId="63077EFD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.277</w:t>
            </w:r>
          </w:p>
        </w:tc>
      </w:tr>
      <w:tr w:rsidR="0073153C" w:rsidRPr="00626B46" w14:paraId="4577CB83" w14:textId="5153BFCA" w:rsidTr="001B53C8">
        <w:trPr>
          <w:trHeight w:val="335"/>
        </w:trPr>
        <w:tc>
          <w:tcPr>
            <w:tcW w:w="1393" w:type="dxa"/>
          </w:tcPr>
          <w:p w14:paraId="02DA96DC" w14:textId="5C6C3964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Amphetamine</w:t>
            </w:r>
          </w:p>
        </w:tc>
        <w:tc>
          <w:tcPr>
            <w:tcW w:w="1394" w:type="dxa"/>
          </w:tcPr>
          <w:p w14:paraId="16DA2AE6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4AAC7D24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</w:tcPr>
          <w:p w14:paraId="5649B8C6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14:paraId="654276F1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</w:tcPr>
          <w:p w14:paraId="41D9F4C9" w14:textId="279B2108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720" w:type="dxa"/>
          </w:tcPr>
          <w:p w14:paraId="619098D0" w14:textId="54DB0331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.650</w:t>
            </w:r>
          </w:p>
        </w:tc>
        <w:tc>
          <w:tcPr>
            <w:tcW w:w="1131" w:type="dxa"/>
          </w:tcPr>
          <w:p w14:paraId="03433C95" w14:textId="1099894E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.623</w:t>
            </w:r>
          </w:p>
        </w:tc>
        <w:tc>
          <w:tcPr>
            <w:tcW w:w="643" w:type="dxa"/>
          </w:tcPr>
          <w:p w14:paraId="14F17DBB" w14:textId="308E2781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.423</w:t>
            </w:r>
          </w:p>
        </w:tc>
      </w:tr>
      <w:tr w:rsidR="0073153C" w:rsidRPr="00626B46" w14:paraId="713FCB68" w14:textId="0F711E24" w:rsidTr="001B53C8">
        <w:trPr>
          <w:trHeight w:val="351"/>
        </w:trPr>
        <w:tc>
          <w:tcPr>
            <w:tcW w:w="1393" w:type="dxa"/>
          </w:tcPr>
          <w:p w14:paraId="1FC740F4" w14:textId="25D8EDFA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Kokain</w:t>
            </w:r>
          </w:p>
        </w:tc>
        <w:tc>
          <w:tcPr>
            <w:tcW w:w="1394" w:type="dxa"/>
          </w:tcPr>
          <w:p w14:paraId="3A138B63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1AD71807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</w:tcPr>
          <w:p w14:paraId="48C18DD3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14:paraId="446AA3DB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</w:tcPr>
          <w:p w14:paraId="4A1CD7FB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14:paraId="4F96A6B4" w14:textId="01DD2B58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1131" w:type="dxa"/>
          </w:tcPr>
          <w:p w14:paraId="61861E28" w14:textId="0E033D1F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.658</w:t>
            </w:r>
          </w:p>
        </w:tc>
        <w:tc>
          <w:tcPr>
            <w:tcW w:w="643" w:type="dxa"/>
          </w:tcPr>
          <w:p w14:paraId="019E0F31" w14:textId="67E6E0ED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.425</w:t>
            </w:r>
          </w:p>
        </w:tc>
      </w:tr>
      <w:tr w:rsidR="0073153C" w:rsidRPr="00626B46" w14:paraId="55A18327" w14:textId="27B9828D" w:rsidTr="001B53C8">
        <w:trPr>
          <w:trHeight w:val="335"/>
        </w:trPr>
        <w:tc>
          <w:tcPr>
            <w:tcW w:w="1393" w:type="dxa"/>
          </w:tcPr>
          <w:p w14:paraId="376B3DAF" w14:textId="79F79980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Halluzinanten</w:t>
            </w:r>
          </w:p>
        </w:tc>
        <w:tc>
          <w:tcPr>
            <w:tcW w:w="1394" w:type="dxa"/>
          </w:tcPr>
          <w:p w14:paraId="282A2171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</w:tcPr>
          <w:p w14:paraId="7351AEBC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</w:tcPr>
          <w:p w14:paraId="1FA95577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14:paraId="3E4070C0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</w:tcPr>
          <w:p w14:paraId="49324A45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14:paraId="29580EB6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</w:tcPr>
          <w:p w14:paraId="32392732" w14:textId="22D15204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  <w:tc>
          <w:tcPr>
            <w:tcW w:w="643" w:type="dxa"/>
          </w:tcPr>
          <w:p w14:paraId="12D21419" w14:textId="4541348D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.441</w:t>
            </w:r>
          </w:p>
        </w:tc>
      </w:tr>
      <w:tr w:rsidR="0073153C" w:rsidRPr="00626B46" w14:paraId="308F43F6" w14:textId="2059BCE4" w:rsidTr="001B53C8">
        <w:trPr>
          <w:trHeight w:val="335"/>
        </w:trPr>
        <w:tc>
          <w:tcPr>
            <w:tcW w:w="1393" w:type="dxa"/>
            <w:tcBorders>
              <w:bottom w:val="single" w:sz="4" w:space="0" w:color="000000"/>
            </w:tcBorders>
          </w:tcPr>
          <w:p w14:paraId="3D86A2EA" w14:textId="2AC8CF51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Opiate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7124CAEA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2B896008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14:paraId="5035D179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14:paraId="3BB1DC22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14:paraId="3156E1A3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D1B0985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41493551" w14:textId="77777777" w:rsidR="00A416E8" w:rsidRPr="00626B46" w:rsidRDefault="00A416E8" w:rsidP="008934C7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14:paraId="2DB042B2" w14:textId="78A3690B" w:rsidR="00A416E8" w:rsidRPr="00626B46" w:rsidRDefault="00A416E8" w:rsidP="008934C7">
            <w:pPr>
              <w:rPr>
                <w:sz w:val="15"/>
                <w:szCs w:val="15"/>
              </w:rPr>
            </w:pPr>
            <w:r w:rsidRPr="00626B46">
              <w:rPr>
                <w:sz w:val="15"/>
                <w:szCs w:val="15"/>
              </w:rPr>
              <w:t>1.000</w:t>
            </w:r>
          </w:p>
        </w:tc>
      </w:tr>
      <w:tr w:rsidR="0073153C" w:rsidRPr="00626B46" w14:paraId="41C216E1" w14:textId="77777777" w:rsidTr="001B53C8">
        <w:tblPrEx>
          <w:tblBorders>
            <w:top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9"/>
            <w:tcBorders>
              <w:top w:val="single" w:sz="4" w:space="0" w:color="000000"/>
            </w:tcBorders>
          </w:tcPr>
          <w:p w14:paraId="41DC76B0" w14:textId="77777777" w:rsidR="001B53C8" w:rsidRPr="00626B46" w:rsidRDefault="001B53C8" w:rsidP="008934C7">
            <w:pPr>
              <w:rPr>
                <w:sz w:val="15"/>
                <w:szCs w:val="15"/>
              </w:rPr>
            </w:pPr>
          </w:p>
        </w:tc>
      </w:tr>
    </w:tbl>
    <w:p w14:paraId="3AF34F81" w14:textId="50E49E78" w:rsidR="008934C7" w:rsidRPr="00626B46" w:rsidRDefault="00626B46" w:rsidP="000662D2">
      <w:pPr>
        <w:rPr>
          <w:rStyle w:val="IntensiveHervorhebung"/>
          <w:color w:val="000000" w:themeColor="text1"/>
          <w:sz w:val="21"/>
          <w:szCs w:val="21"/>
        </w:rPr>
      </w:pPr>
      <w:r w:rsidRPr="00626B46">
        <w:rPr>
          <w:rStyle w:val="IntensiveHervorhebung"/>
          <w:color w:val="000000" w:themeColor="text1"/>
          <w:sz w:val="21"/>
          <w:szCs w:val="21"/>
        </w:rPr>
        <w:t>Merke. Nur signifikante Zusammenhänge sind aufgezeigt (P Werte &lt;.05).</w:t>
      </w:r>
    </w:p>
    <w:p w14:paraId="0ACCA6CF" w14:textId="6DA042D9" w:rsidR="00A5573F" w:rsidRDefault="00A5573F" w:rsidP="00861C34">
      <w:pPr>
        <w:pStyle w:val="berschrift1"/>
        <w:jc w:val="center"/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</w:pPr>
      <w:bookmarkStart w:id="10" w:name="_Toc116642123"/>
      <w:r w:rsidRPr="00861C34"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Diskussion </w:t>
      </w:r>
      <w:r w:rsidR="00960CDE" w:rsidRPr="00861C34">
        <w:rPr>
          <w:rStyle w:val="IntensiveHervorhebung"/>
          <w:rFonts w:ascii="Times" w:hAnsi="Times"/>
          <w:i w:val="0"/>
          <w:iCs w:val="0"/>
          <w:color w:val="000000" w:themeColor="text1"/>
          <w:sz w:val="24"/>
          <w:szCs w:val="24"/>
        </w:rPr>
        <w:t>und Limitationen</w:t>
      </w:r>
      <w:bookmarkEnd w:id="10"/>
    </w:p>
    <w:p w14:paraId="38317632" w14:textId="77777777" w:rsidR="000662D2" w:rsidRPr="000662D2" w:rsidRDefault="000662D2" w:rsidP="000662D2"/>
    <w:p w14:paraId="4FFFB0A5" w14:textId="77777777" w:rsidR="00076850" w:rsidRDefault="00A817EB" w:rsidP="00CE389B">
      <w:pPr>
        <w:spacing w:line="360" w:lineRule="auto"/>
        <w:ind w:firstLine="708"/>
      </w:pPr>
      <w:r w:rsidRPr="0073153C">
        <w:t>In dieser Studie</w:t>
      </w:r>
      <w:r w:rsidR="00960CDE" w:rsidRPr="0073153C">
        <w:t xml:space="preserve"> mit 1090 Teilnehmenden, eine grosse Stichprobe,</w:t>
      </w:r>
      <w:r w:rsidRPr="0073153C">
        <w:t xml:space="preserve"> wurde belegt, dass bei Patienten mit einer Schizophrenie-Spektrum -Störung und einem Konsum von Cannabis </w:t>
      </w:r>
      <w:r w:rsidR="00680A1E" w:rsidRPr="0073153C">
        <w:t xml:space="preserve">psychotische Symptome 2.9 Jahre früher </w:t>
      </w:r>
      <w:r w:rsidR="00CF434F" w:rsidRPr="0073153C">
        <w:t>aufweisen</w:t>
      </w:r>
      <w:r w:rsidR="00680A1E" w:rsidRPr="0073153C">
        <w:t xml:space="preserve"> als Patienten ohne Cannabiskonsum</w:t>
      </w:r>
      <w:r w:rsidR="00182DC0">
        <w:t xml:space="preserve"> (Helle et al.,2016)</w:t>
      </w:r>
      <w:r w:rsidR="00680A1E" w:rsidRPr="0073153C">
        <w:t xml:space="preserve">. </w:t>
      </w:r>
      <w:r w:rsidR="005A0F07" w:rsidRPr="0073153C">
        <w:t>Die vorliegende Studie ist also im Einklang mit anderen Studien, welche den Cannabiskonsum mit einem früheren Erkrankungsbegin</w:t>
      </w:r>
      <w:r w:rsidR="00B01B89" w:rsidRPr="0073153C">
        <w:t>n</w:t>
      </w:r>
      <w:r w:rsidR="00517785" w:rsidRPr="0073153C">
        <w:t xml:space="preserve"> in</w:t>
      </w:r>
      <w:r w:rsidR="005A0F07" w:rsidRPr="0073153C">
        <w:t xml:space="preserve"> Verbindung </w:t>
      </w:r>
      <w:r w:rsidR="00B01B89" w:rsidRPr="0073153C">
        <w:t>setz</w:t>
      </w:r>
      <w:r w:rsidR="00517785" w:rsidRPr="0073153C">
        <w:t>t</w:t>
      </w:r>
      <w:r w:rsidR="00B01B89" w:rsidRPr="0073153C">
        <w:t>en (</w:t>
      </w:r>
      <w:r w:rsidR="00960CDE" w:rsidRPr="0073153C">
        <w:t>Marconi et al.,2016; Roser</w:t>
      </w:r>
      <w:r w:rsidR="00B01B89" w:rsidRPr="0073153C">
        <w:t>, 2019).</w:t>
      </w:r>
      <w:r w:rsidR="008E256C" w:rsidRPr="0073153C">
        <w:t xml:space="preserve"> </w:t>
      </w:r>
      <w:r w:rsidR="00CE389B">
        <w:t xml:space="preserve">Während </w:t>
      </w:r>
      <w:r w:rsidR="008E256C" w:rsidRPr="0073153C">
        <w:t>die Studie negative Auswirkungen von Cannabiskonsum und einer Schizophrenie-Spektrum-Störung in Zusammenhang stellt und bisherige Ergebnisse bezüglich der Thematik bestätigt</w:t>
      </w:r>
      <w:r w:rsidR="00395873" w:rsidRPr="0073153C">
        <w:t>,</w:t>
      </w:r>
      <w:r w:rsidR="008E256C" w:rsidRPr="0073153C">
        <w:t xml:space="preserve"> weist sie einige Limitationen auf</w:t>
      </w:r>
      <w:r w:rsidR="0058565D">
        <w:t xml:space="preserve"> (Helle et al.,2016)</w:t>
      </w:r>
      <w:r w:rsidR="008E256C" w:rsidRPr="0073153C">
        <w:t>.</w:t>
      </w:r>
    </w:p>
    <w:p w14:paraId="573D1057" w14:textId="39057F73" w:rsidR="009872AB" w:rsidRDefault="008E256C" w:rsidP="00076850">
      <w:pPr>
        <w:spacing w:line="360" w:lineRule="auto"/>
        <w:ind w:firstLine="708"/>
      </w:pPr>
      <w:r w:rsidRPr="0073153C">
        <w:t xml:space="preserve"> Zum einem wurde nicht untersucht, ob der Konsum von Cannabis vor oder nach der Erkrankung </w:t>
      </w:r>
      <w:r w:rsidR="00395873" w:rsidRPr="0073153C">
        <w:t xml:space="preserve">begann, </w:t>
      </w:r>
      <w:r w:rsidR="00A80BEB" w:rsidRPr="0073153C">
        <w:t xml:space="preserve">dies ist </w:t>
      </w:r>
      <w:r w:rsidR="00D35E3A">
        <w:t xml:space="preserve">ein </w:t>
      </w:r>
      <w:r w:rsidR="00A80BEB" w:rsidRPr="0073153C">
        <w:t xml:space="preserve">Mitgrund, </w:t>
      </w:r>
      <w:r w:rsidR="00395873" w:rsidRPr="0073153C">
        <w:t>weshalb kein kausaler Zusammenhang bestätigt werden kann.</w:t>
      </w:r>
      <w:r w:rsidR="009872AB">
        <w:t xml:space="preserve"> Die Studie beinhalte</w:t>
      </w:r>
      <w:r w:rsidR="00076850">
        <w:t>t</w:t>
      </w:r>
      <w:r w:rsidR="009872AB">
        <w:t xml:space="preserve">e mehr männliche Teilnehmer in der Substanzgruppe, </w:t>
      </w:r>
      <w:r w:rsidR="00D35E3A">
        <w:t xml:space="preserve">fraglich </w:t>
      </w:r>
      <w:r w:rsidR="009872AB">
        <w:t>wurde kein Unterscheid zwischen den beiden biologischen Geschlechtern festgestellt.</w:t>
      </w:r>
      <w:r w:rsidR="009872AB" w:rsidRPr="0073153C">
        <w:t xml:space="preserve"> </w:t>
      </w:r>
      <w:r w:rsidR="009872AB">
        <w:t>Diesbezüglich</w:t>
      </w:r>
      <w:r w:rsidR="00076850">
        <w:t xml:space="preserve"> wären weitere Forschungseinheiten interessant.</w:t>
      </w:r>
      <w:r w:rsidR="009872AB">
        <w:t xml:space="preserve"> </w:t>
      </w:r>
      <w:r w:rsidRPr="0073153C">
        <w:t xml:space="preserve">Im </w:t>
      </w:r>
      <w:r w:rsidR="00395873" w:rsidRPr="0073153C">
        <w:t>Weiteren</w:t>
      </w:r>
      <w:r w:rsidRPr="0073153C">
        <w:t xml:space="preserve"> kann man die Patientenberichten, welche für</w:t>
      </w:r>
      <w:r w:rsidR="00076850">
        <w:t xml:space="preserve"> die</w:t>
      </w:r>
      <w:r w:rsidRPr="0073153C">
        <w:t xml:space="preserve"> Familienanamnese gebraucht wurden, in Fragestellen, da diese keine zuverlässigen Informationen </w:t>
      </w:r>
      <w:r w:rsidR="00395873" w:rsidRPr="0073153C">
        <w:t xml:space="preserve">aufweisen. </w:t>
      </w:r>
      <w:r w:rsidR="0025299D" w:rsidRPr="0073153C">
        <w:t xml:space="preserve">Eine weitere Frage der Reliabilität der </w:t>
      </w:r>
      <w:r w:rsidR="0025299D" w:rsidRPr="0073153C">
        <w:lastRenderedPageBreak/>
        <w:t>Studie ist</w:t>
      </w:r>
      <w:r w:rsidR="006A01FA" w:rsidRPr="0073153C">
        <w:t xml:space="preserve">, dass in 18 Fällen «Datum des ersten Kontaktes mit psychiatrischen Diensten wegen einer psychotischen Störung» als Ersatz für das Alter der erst Manifestation verwendet wurde, welche die Ergebnisse beeinträchtigt. </w:t>
      </w:r>
      <w:r w:rsidR="009872AB">
        <w:tab/>
      </w:r>
    </w:p>
    <w:p w14:paraId="138E6B60" w14:textId="2251A9FF" w:rsidR="000662D2" w:rsidRDefault="007C0F71" w:rsidP="009872AB">
      <w:pPr>
        <w:spacing w:line="360" w:lineRule="auto"/>
        <w:ind w:firstLine="708"/>
      </w:pPr>
      <w:r w:rsidRPr="0073153C">
        <w:t>D</w:t>
      </w:r>
      <w:r w:rsidR="00395873" w:rsidRPr="0073153C">
        <w:t>er niedrigere Bildungsstatuts, welche</w:t>
      </w:r>
      <w:r w:rsidR="00AB6252" w:rsidRPr="0073153C">
        <w:t xml:space="preserve"> </w:t>
      </w:r>
      <w:r w:rsidR="00395873" w:rsidRPr="0073153C">
        <w:t>Patienten mit Substanzkonsum aufwiesen</w:t>
      </w:r>
      <w:r w:rsidR="0025299D" w:rsidRPr="0073153C">
        <w:t>,</w:t>
      </w:r>
      <w:r w:rsidR="00AB6252" w:rsidRPr="0073153C">
        <w:t xml:space="preserve"> kann man als eine weitere Limitation der Studie betrachten, </w:t>
      </w:r>
      <w:r w:rsidR="0025299D" w:rsidRPr="0073153C">
        <w:t>da</w:t>
      </w:r>
      <w:r w:rsidR="00AB6252" w:rsidRPr="0073153C">
        <w:t xml:space="preserve"> ein niedriges Bildungsniveau</w:t>
      </w:r>
      <w:r w:rsidR="0025299D" w:rsidRPr="0073153C">
        <w:t xml:space="preserve"> mit dem Konsum von Cannabis im Einklang stehen </w:t>
      </w:r>
      <w:r w:rsidR="005111FA" w:rsidRPr="0073153C">
        <w:t>kann</w:t>
      </w:r>
      <w:r w:rsidR="005111FA" w:rsidRPr="0073153C">
        <w:rPr>
          <w:rFonts w:eastAsia="Times New Roman" w:cs="Times New Roman"/>
          <w:lang w:eastAsia="de-DE"/>
        </w:rPr>
        <w:t xml:space="preserve"> (</w:t>
      </w:r>
      <w:proofErr w:type="spellStart"/>
      <w:r w:rsidR="005111FA" w:rsidRPr="0073153C">
        <w:rPr>
          <w:rFonts w:eastAsia="Times New Roman" w:cs="Times New Roman"/>
          <w:lang w:eastAsia="de-DE"/>
        </w:rPr>
        <w:t>Hjorthøj</w:t>
      </w:r>
      <w:proofErr w:type="spellEnd"/>
      <w:r w:rsidR="005111FA" w:rsidRPr="0073153C">
        <w:rPr>
          <w:rFonts w:eastAsia="Times New Roman" w:cs="Times New Roman"/>
          <w:lang w:eastAsia="de-DE"/>
        </w:rPr>
        <w:t xml:space="preserve"> et al., 2020)</w:t>
      </w:r>
      <w:r w:rsidR="0025299D" w:rsidRPr="0073153C">
        <w:t>.</w:t>
      </w:r>
      <w:r w:rsidR="00E4475B" w:rsidRPr="0073153C">
        <w:t xml:space="preserve"> </w:t>
      </w:r>
      <w:r w:rsidR="00D35E3A">
        <w:t xml:space="preserve">Diesbezüglich sollten weitere Forschungen Teilnehmer mit einem diverseren Bildungsniveau einbeziehen. </w:t>
      </w:r>
      <w:r w:rsidR="00E4475B" w:rsidRPr="0073153C">
        <w:t>Dennoch sind die Ergebnisse der vorliegenden Studie als wichtige Grundlage zu werten</w:t>
      </w:r>
      <w:r w:rsidR="007458FB">
        <w:t xml:space="preserve"> und ermöglichen weiteren Forschungsarbeiten auf ihren Ergebnissen Ansatz zu setzen</w:t>
      </w:r>
      <w:r w:rsidR="006726C5">
        <w:t xml:space="preserve">. Dies mit dem Ziel </w:t>
      </w:r>
      <w:r w:rsidR="00A42D1D" w:rsidRPr="0073153C">
        <w:rPr>
          <w:i/>
          <w:iCs/>
        </w:rPr>
        <w:t>Cannabiskonsum</w:t>
      </w:r>
      <w:r w:rsidR="00062837" w:rsidRPr="0073153C">
        <w:t xml:space="preserve"> und sein spezifischer Mechanismus mit einer früheren Erkrankung von Schizophrenie</w:t>
      </w:r>
      <w:bookmarkStart w:id="11" w:name="_Toc116642124"/>
      <w:r w:rsidR="006726C5">
        <w:t xml:space="preserve"> weiter zu evaluieren.</w:t>
      </w:r>
    </w:p>
    <w:p w14:paraId="1230656C" w14:textId="186270CF" w:rsidR="00B62608" w:rsidRPr="000662D2" w:rsidRDefault="005D5417" w:rsidP="000662D2">
      <w:pPr>
        <w:spacing w:line="360" w:lineRule="auto"/>
        <w:jc w:val="center"/>
      </w:pPr>
      <w:r w:rsidRPr="00861C34">
        <w:rPr>
          <w:color w:val="000000" w:themeColor="text1"/>
        </w:rPr>
        <w:t>Fazit und Ausblick</w:t>
      </w:r>
      <w:bookmarkEnd w:id="11"/>
    </w:p>
    <w:p w14:paraId="12A543C4" w14:textId="77777777" w:rsidR="00615630" w:rsidRDefault="00E4475B" w:rsidP="00615630">
      <w:pPr>
        <w:spacing w:line="360" w:lineRule="auto"/>
        <w:ind w:firstLine="708"/>
        <w:rPr>
          <w:rFonts w:eastAsia="Times New Roman" w:cs="Times New Roman"/>
          <w:lang w:eastAsia="de-DE"/>
        </w:rPr>
      </w:pPr>
      <w:r w:rsidRPr="0073153C">
        <w:rPr>
          <w:rStyle w:val="IntensiveHervorhebung"/>
          <w:i w:val="0"/>
          <w:iCs w:val="0"/>
          <w:color w:val="000000" w:themeColor="text1"/>
        </w:rPr>
        <w:t>Zusammenfassend kann festgehalten werden, dass der Konsum von Cannabis</w:t>
      </w:r>
      <w:r w:rsidR="005D5417" w:rsidRPr="0073153C">
        <w:rPr>
          <w:rStyle w:val="IntensiveHervorhebung"/>
          <w:i w:val="0"/>
          <w:iCs w:val="0"/>
          <w:color w:val="000000" w:themeColor="text1"/>
        </w:rPr>
        <w:t xml:space="preserve"> </w:t>
      </w:r>
      <w:r w:rsidR="000403C8" w:rsidRPr="0073153C">
        <w:rPr>
          <w:rStyle w:val="IntensiveHervorhebung"/>
          <w:i w:val="0"/>
          <w:iCs w:val="0"/>
          <w:color w:val="000000" w:themeColor="text1"/>
        </w:rPr>
        <w:t xml:space="preserve">die Erkrankung von einer Schizophrenie-Spektrum-Störung begünstig </w:t>
      </w:r>
      <w:r w:rsidR="000403C8" w:rsidRPr="0073153C">
        <w:rPr>
          <w:rFonts w:eastAsia="Times New Roman" w:cs="Times New Roman"/>
          <w:lang w:eastAsia="de-DE"/>
        </w:rPr>
        <w:t>(Helle et.,2016; Marconi et al.,2016; Ortiz-Medina et al., 2018; Roser, 2019</w:t>
      </w:r>
      <w:r w:rsidR="000403C8" w:rsidRPr="0073153C">
        <w:rPr>
          <w:rStyle w:val="IntensiveHervorhebung"/>
          <w:i w:val="0"/>
          <w:iCs w:val="0"/>
          <w:color w:val="000000" w:themeColor="text1"/>
        </w:rPr>
        <w:t xml:space="preserve">). Zudem belegten diverse Studien, unteranderem die </w:t>
      </w:r>
      <w:r w:rsidR="00A80BEB" w:rsidRPr="0073153C">
        <w:rPr>
          <w:rStyle w:val="IntensiveHervorhebung"/>
          <w:i w:val="0"/>
          <w:iCs w:val="0"/>
          <w:color w:val="000000" w:themeColor="text1"/>
        </w:rPr>
        <w:t xml:space="preserve">vorliegende von </w:t>
      </w:r>
      <w:r w:rsidR="000403C8" w:rsidRPr="0073153C">
        <w:rPr>
          <w:rStyle w:val="IntensiveHervorhebung"/>
          <w:i w:val="0"/>
          <w:iCs w:val="0"/>
          <w:color w:val="000000" w:themeColor="text1"/>
        </w:rPr>
        <w:t>Helle und Kollegen (2016), eine Assoziierung zwischen dem Konsum von Cannabis und einer früheren Erkrankung</w:t>
      </w:r>
      <w:r w:rsidR="00F5575A" w:rsidRPr="0073153C">
        <w:rPr>
          <w:rStyle w:val="IntensiveHervorhebung"/>
          <w:i w:val="0"/>
          <w:iCs w:val="0"/>
          <w:color w:val="000000" w:themeColor="text1"/>
        </w:rPr>
        <w:t xml:space="preserve"> von fast drei Jahren</w:t>
      </w:r>
      <w:r w:rsidR="000403C8" w:rsidRPr="0073153C">
        <w:rPr>
          <w:rStyle w:val="IntensiveHervorhebung"/>
          <w:i w:val="0"/>
          <w:iCs w:val="0"/>
          <w:color w:val="000000" w:themeColor="text1"/>
        </w:rPr>
        <w:t xml:space="preserve"> </w:t>
      </w:r>
      <w:r w:rsidR="00F5575A" w:rsidRPr="0073153C">
        <w:rPr>
          <w:rStyle w:val="IntensiveHervorhebung"/>
          <w:i w:val="0"/>
          <w:iCs w:val="0"/>
          <w:color w:val="000000" w:themeColor="text1"/>
        </w:rPr>
        <w:t>der</w:t>
      </w:r>
      <w:r w:rsidR="000403C8" w:rsidRPr="0073153C">
        <w:rPr>
          <w:rStyle w:val="IntensiveHervorhebung"/>
          <w:i w:val="0"/>
          <w:iCs w:val="0"/>
          <w:color w:val="000000" w:themeColor="text1"/>
        </w:rPr>
        <w:t xml:space="preserve"> Schizophrenie (Helle et.,2016</w:t>
      </w:r>
      <w:r w:rsidR="000403C8" w:rsidRPr="0073153C">
        <w:rPr>
          <w:rFonts w:eastAsia="Times New Roman" w:cs="Times New Roman"/>
          <w:lang w:eastAsia="de-DE"/>
        </w:rPr>
        <w:t>; Marconi et al.,2016).</w:t>
      </w:r>
      <w:r w:rsidR="00F5575A" w:rsidRPr="0073153C">
        <w:rPr>
          <w:rFonts w:eastAsia="Times New Roman" w:cs="Times New Roman"/>
          <w:lang w:eastAsia="de-DE"/>
        </w:rPr>
        <w:t xml:space="preserve"> Aufgrund gemischter Methodik und Ergebnisse bleibt der Zusammenhang unumstritten, was die Notwendigkeit weiterer Forschungsarbeiten erhebt. </w:t>
      </w:r>
    </w:p>
    <w:p w14:paraId="2594EF08" w14:textId="039558F9" w:rsidR="00281FC2" w:rsidRPr="0073153C" w:rsidRDefault="006C7DEA" w:rsidP="00615630">
      <w:pPr>
        <w:spacing w:line="360" w:lineRule="auto"/>
        <w:ind w:firstLine="708"/>
        <w:rPr>
          <w:rStyle w:val="IntensiveHervorhebung"/>
          <w:i w:val="0"/>
          <w:iCs w:val="0"/>
          <w:color w:val="000000" w:themeColor="text1"/>
        </w:rPr>
      </w:pPr>
      <w:r w:rsidRPr="0073153C">
        <w:rPr>
          <w:rFonts w:eastAsia="Times New Roman" w:cs="Times New Roman"/>
          <w:lang w:eastAsia="de-DE"/>
        </w:rPr>
        <w:t xml:space="preserve">Während die Studie mit einer grossen Anzahl an Teilnehmern ein </w:t>
      </w:r>
      <w:r w:rsidR="00E45CDE" w:rsidRPr="0073153C">
        <w:rPr>
          <w:rFonts w:eastAsia="Times New Roman" w:cs="Times New Roman"/>
          <w:lang w:eastAsia="de-DE"/>
        </w:rPr>
        <w:t>wichtiges Fundament legt, können festgestellte Limitation</w:t>
      </w:r>
      <w:r w:rsidR="00182DC0">
        <w:rPr>
          <w:rFonts w:eastAsia="Times New Roman" w:cs="Times New Roman"/>
          <w:lang w:eastAsia="de-DE"/>
        </w:rPr>
        <w:t>en</w:t>
      </w:r>
      <w:r w:rsidR="00E45CDE" w:rsidRPr="0073153C">
        <w:rPr>
          <w:rFonts w:eastAsia="Times New Roman" w:cs="Times New Roman"/>
          <w:lang w:eastAsia="de-DE"/>
        </w:rPr>
        <w:t xml:space="preserve"> bezüglich der Reliabilität verbessert werden</w:t>
      </w:r>
      <w:r w:rsidR="0070384F" w:rsidRPr="0073153C">
        <w:rPr>
          <w:rFonts w:eastAsia="Times New Roman" w:cs="Times New Roman"/>
          <w:lang w:eastAsia="de-DE"/>
        </w:rPr>
        <w:t xml:space="preserve"> beispielsweise durch</w:t>
      </w:r>
      <w:r w:rsidR="00E45CDE" w:rsidRPr="0073153C">
        <w:rPr>
          <w:rFonts w:eastAsia="Times New Roman" w:cs="Times New Roman"/>
          <w:lang w:eastAsia="de-DE"/>
        </w:rPr>
        <w:t xml:space="preserve"> </w:t>
      </w:r>
      <w:r w:rsidR="0070384F" w:rsidRPr="0073153C">
        <w:rPr>
          <w:rFonts w:eastAsia="Times New Roman" w:cs="Times New Roman"/>
          <w:lang w:eastAsia="de-DE"/>
        </w:rPr>
        <w:t xml:space="preserve">genetische Verfahren an Stelle von Patientenberichten. </w:t>
      </w:r>
      <w:r w:rsidR="00A80BEB" w:rsidRPr="0073153C">
        <w:rPr>
          <w:rFonts w:eastAsia="Times New Roman" w:cs="Times New Roman"/>
          <w:lang w:eastAsia="de-DE"/>
        </w:rPr>
        <w:t xml:space="preserve">Zudem </w:t>
      </w:r>
      <w:r w:rsidR="006954AE" w:rsidRPr="0073153C">
        <w:rPr>
          <w:rFonts w:eastAsia="Times New Roman" w:cs="Times New Roman"/>
          <w:lang w:eastAsia="de-DE"/>
        </w:rPr>
        <w:t>sollte</w:t>
      </w:r>
      <w:r w:rsidR="00AA746B" w:rsidRPr="0073153C">
        <w:rPr>
          <w:rFonts w:eastAsia="Times New Roman" w:cs="Times New Roman"/>
          <w:lang w:eastAsia="de-DE"/>
        </w:rPr>
        <w:t xml:space="preserve"> diese Studie weitere Forschungseinheiten animieren</w:t>
      </w:r>
      <w:r w:rsidR="0073153C">
        <w:rPr>
          <w:rFonts w:eastAsia="Times New Roman" w:cs="Times New Roman"/>
          <w:lang w:eastAsia="de-DE"/>
        </w:rPr>
        <w:t>, w</w:t>
      </w:r>
      <w:r w:rsidR="00626B46">
        <w:rPr>
          <w:rFonts w:eastAsia="Times New Roman" w:cs="Times New Roman"/>
          <w:lang w:eastAsia="de-DE"/>
        </w:rPr>
        <w:t xml:space="preserve">o </w:t>
      </w:r>
      <w:r w:rsidR="0073153C">
        <w:rPr>
          <w:rFonts w:eastAsia="Times New Roman" w:cs="Times New Roman"/>
          <w:lang w:eastAsia="de-DE"/>
        </w:rPr>
        <w:t xml:space="preserve">die Fragestellung lauten könnte: Gibt es einen Unterschied </w:t>
      </w:r>
      <w:r w:rsidR="0073153C" w:rsidRPr="0073153C">
        <w:rPr>
          <w:rFonts w:eastAsia="Times New Roman" w:cs="Times New Roman"/>
          <w:lang w:eastAsia="de-DE"/>
        </w:rPr>
        <w:t>zwischen</w:t>
      </w:r>
      <w:r w:rsidR="00BE640F" w:rsidRPr="0073153C">
        <w:rPr>
          <w:rFonts w:eastAsia="Times New Roman" w:cs="Times New Roman"/>
          <w:lang w:eastAsia="de-DE"/>
        </w:rPr>
        <w:t xml:space="preserve"> der Menge </w:t>
      </w:r>
      <w:r w:rsidR="007B2DE4">
        <w:rPr>
          <w:rFonts w:eastAsia="Times New Roman" w:cs="Times New Roman"/>
          <w:lang w:eastAsia="de-DE"/>
        </w:rPr>
        <w:t xml:space="preserve">an konsumierten Cannabis </w:t>
      </w:r>
      <w:r w:rsidR="00BE640F" w:rsidRPr="0073153C">
        <w:rPr>
          <w:rFonts w:eastAsia="Times New Roman" w:cs="Times New Roman"/>
          <w:lang w:eastAsia="de-DE"/>
        </w:rPr>
        <w:t xml:space="preserve">und den beiden biologischen </w:t>
      </w:r>
      <w:r w:rsidR="0073153C" w:rsidRPr="0073153C">
        <w:rPr>
          <w:rFonts w:eastAsia="Times New Roman" w:cs="Times New Roman"/>
          <w:lang w:eastAsia="de-DE"/>
        </w:rPr>
        <w:t>Geschlechter?</w:t>
      </w:r>
      <w:r w:rsidR="00CE389B" w:rsidRPr="00CE389B">
        <w:t xml:space="preserve"> </w:t>
      </w:r>
      <w:r w:rsidR="00CE389B">
        <w:t xml:space="preserve">Denn obwohl der Schweregrad von Cannabiskonsum </w:t>
      </w:r>
      <w:r w:rsidR="00DA2FB1">
        <w:t xml:space="preserve">analysiert wurde, sind </w:t>
      </w:r>
      <w:r w:rsidR="002E3353">
        <w:t>keine Ergebnisse</w:t>
      </w:r>
      <w:r w:rsidR="00CE389B">
        <w:t xml:space="preserve"> in Verbindung gebracht</w:t>
      </w:r>
      <w:r w:rsidR="00DA2FB1">
        <w:t xml:space="preserve"> worden</w:t>
      </w:r>
      <w:r w:rsidR="005111FA">
        <w:t xml:space="preserve">. </w:t>
      </w:r>
    </w:p>
    <w:p w14:paraId="376078E3" w14:textId="0B0A6DC4" w:rsidR="00561E33" w:rsidRPr="0073153C" w:rsidRDefault="00561E33" w:rsidP="008934C7">
      <w:pPr>
        <w:spacing w:line="360" w:lineRule="auto"/>
        <w:rPr>
          <w:rStyle w:val="IntensiveHervorhebung"/>
          <w:i w:val="0"/>
          <w:iCs w:val="0"/>
          <w:color w:val="000000" w:themeColor="text1"/>
        </w:rPr>
      </w:pPr>
    </w:p>
    <w:p w14:paraId="2A21AEC1" w14:textId="2D7A1C51" w:rsidR="00561E33" w:rsidRDefault="00561E33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409D19E8" w14:textId="65F7A1E3" w:rsidR="00626B46" w:rsidRDefault="00626B46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680A5BAD" w14:textId="6F7D8549" w:rsidR="00626B46" w:rsidRDefault="00626B46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3D6F300A" w14:textId="30198667" w:rsidR="00626B46" w:rsidRDefault="00626B46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5E45EA98" w14:textId="33175CC5" w:rsidR="00626B46" w:rsidRDefault="00626B46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224ECD35" w14:textId="44232359" w:rsidR="00112F95" w:rsidRDefault="00112F95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130FF6E9" w14:textId="667FF97F" w:rsidR="00112F95" w:rsidRDefault="00112F95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56936775" w14:textId="6FF4EA0A" w:rsidR="00112F95" w:rsidRDefault="00112F95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4FE36133" w14:textId="77777777" w:rsidR="00182DC0" w:rsidRDefault="00182DC0" w:rsidP="00A5573F">
      <w:pPr>
        <w:rPr>
          <w:rStyle w:val="IntensiveHervorhebung"/>
          <w:i w:val="0"/>
          <w:iCs w:val="0"/>
          <w:color w:val="000000" w:themeColor="text1"/>
        </w:rPr>
      </w:pPr>
    </w:p>
    <w:p w14:paraId="0536C4F6" w14:textId="12CCA8FB" w:rsidR="00281FC2" w:rsidRPr="00F100FD" w:rsidRDefault="00281FC2" w:rsidP="00112F95">
      <w:pPr>
        <w:pStyle w:val="berschrift1"/>
        <w:jc w:val="center"/>
        <w:rPr>
          <w:rStyle w:val="IntensiveHervorhebung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bookmarkStart w:id="12" w:name="_Toc116642125"/>
      <w:proofErr w:type="spellStart"/>
      <w:r w:rsidRPr="00F100FD">
        <w:rPr>
          <w:rStyle w:val="IntensiveHervorhebung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lang w:val="en-US"/>
        </w:rPr>
        <w:lastRenderedPageBreak/>
        <w:t>Literaturverzeichnis</w:t>
      </w:r>
      <w:bookmarkEnd w:id="12"/>
      <w:proofErr w:type="spellEnd"/>
    </w:p>
    <w:p w14:paraId="1911B1DA" w14:textId="213670E5" w:rsidR="00281FC2" w:rsidRPr="0073153C" w:rsidRDefault="0012791B" w:rsidP="00112F95">
      <w:pPr>
        <w:pStyle w:val="StandardWeb"/>
        <w:ind w:left="567" w:hanging="567"/>
        <w:rPr>
          <w:rStyle w:val="IntensiveHervorhebung"/>
          <w:rFonts w:ascii="Times" w:hAnsi="Times"/>
          <w:i w:val="0"/>
          <w:iCs w:val="0"/>
          <w:color w:val="000000" w:themeColor="text1"/>
          <w:lang w:val="en-US"/>
        </w:rPr>
      </w:pPr>
      <w:r w:rsidRPr="0073153C">
        <w:rPr>
          <w:rFonts w:ascii="Times" w:hAnsi="Times"/>
          <w:color w:val="000000" w:themeColor="text1"/>
          <w:lang w:val="en-US"/>
        </w:rPr>
        <w:t xml:space="preserve">American Psychiatric Association. (2020). The American Psychiatric Association practice guideline for the treatment of patients with schizophrenia. https://doi.org/10.1176/appi.books.9780890424841 </w:t>
      </w:r>
    </w:p>
    <w:p w14:paraId="38C62161" w14:textId="46788ED9" w:rsidR="00DA442F" w:rsidRPr="0073153C" w:rsidRDefault="00BD26FE" w:rsidP="00112F95">
      <w:pPr>
        <w:pStyle w:val="StandardWeb"/>
        <w:ind w:left="567" w:hanging="567"/>
        <w:rPr>
          <w:rFonts w:ascii="Times" w:hAnsi="Times"/>
          <w:color w:val="000000" w:themeColor="text1"/>
        </w:rPr>
      </w:pPr>
      <w:proofErr w:type="spellStart"/>
      <w:r w:rsidRPr="0073153C">
        <w:rPr>
          <w:rFonts w:ascii="Times" w:hAnsi="Times"/>
          <w:color w:val="000000" w:themeColor="text1"/>
          <w:lang w:val="en-US"/>
        </w:rPr>
        <w:t>Asbridge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M., Hayden, J. A., &amp; Cartwright, J. L. (2012). Acute cannabis consumption and motor vehicle collision risk: Systematic review of Observational Studies and meta-analysis. </w:t>
      </w:r>
      <w:r w:rsidRPr="0073153C">
        <w:rPr>
          <w:rFonts w:ascii="Times" w:hAnsi="Times"/>
          <w:i/>
          <w:iCs/>
          <w:color w:val="000000" w:themeColor="text1"/>
        </w:rPr>
        <w:t>BMJ</w:t>
      </w:r>
      <w:r w:rsidRPr="0073153C">
        <w:rPr>
          <w:rFonts w:ascii="Times" w:hAnsi="Times"/>
          <w:color w:val="000000" w:themeColor="text1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</w:rPr>
        <w:t>344</w:t>
      </w:r>
      <w:r w:rsidRPr="0073153C">
        <w:rPr>
          <w:rFonts w:ascii="Times" w:hAnsi="Times"/>
          <w:color w:val="000000" w:themeColor="text1"/>
        </w:rPr>
        <w:t xml:space="preserve">(feb09 2). </w:t>
      </w:r>
      <w:hyperlink r:id="rId11" w:history="1">
        <w:r w:rsidR="00924462" w:rsidRPr="0073153C">
          <w:rPr>
            <w:rStyle w:val="Hyperlink"/>
            <w:rFonts w:ascii="Times" w:hAnsi="Times"/>
            <w:color w:val="000000" w:themeColor="text1"/>
          </w:rPr>
          <w:t>https://doi.org/10.1136/bmj.e536</w:t>
        </w:r>
      </w:hyperlink>
      <w:r w:rsidRPr="0073153C">
        <w:rPr>
          <w:rFonts w:ascii="Times" w:hAnsi="Times"/>
          <w:color w:val="000000" w:themeColor="text1"/>
        </w:rPr>
        <w:t xml:space="preserve"> </w:t>
      </w:r>
    </w:p>
    <w:p w14:paraId="20F55ABB" w14:textId="51F59CC4" w:rsidR="00924462" w:rsidRPr="0073153C" w:rsidRDefault="00924462" w:rsidP="00112F95">
      <w:pPr>
        <w:pStyle w:val="StandardWeb"/>
        <w:ind w:left="567" w:hanging="567"/>
        <w:rPr>
          <w:rFonts w:ascii="Times" w:hAnsi="Times"/>
          <w:color w:val="000000" w:themeColor="text1"/>
          <w:lang w:val="en-US"/>
        </w:rPr>
      </w:pPr>
      <w:r w:rsidRPr="0073153C">
        <w:rPr>
          <w:rFonts w:ascii="Times" w:hAnsi="Times"/>
          <w:color w:val="000000" w:themeColor="text1"/>
        </w:rPr>
        <w:t xml:space="preserve">Helle, S., Ringen, P. A., Melle, I., Larsen, T.-K., </w:t>
      </w:r>
      <w:proofErr w:type="spellStart"/>
      <w:r w:rsidRPr="0073153C">
        <w:rPr>
          <w:rFonts w:ascii="Times" w:hAnsi="Times"/>
          <w:color w:val="000000" w:themeColor="text1"/>
        </w:rPr>
        <w:t>Gjestad</w:t>
      </w:r>
      <w:proofErr w:type="spellEnd"/>
      <w:r w:rsidRPr="0073153C">
        <w:rPr>
          <w:rFonts w:ascii="Times" w:hAnsi="Times"/>
          <w:color w:val="000000" w:themeColor="text1"/>
        </w:rPr>
        <w:t xml:space="preserve">, R., </w:t>
      </w:r>
      <w:proofErr w:type="spellStart"/>
      <w:r w:rsidRPr="0073153C">
        <w:rPr>
          <w:rFonts w:ascii="Times" w:hAnsi="Times"/>
          <w:color w:val="000000" w:themeColor="text1"/>
        </w:rPr>
        <w:t>Johnsen</w:t>
      </w:r>
      <w:proofErr w:type="spellEnd"/>
      <w:r w:rsidRPr="0073153C">
        <w:rPr>
          <w:rFonts w:ascii="Times" w:hAnsi="Times"/>
          <w:color w:val="000000" w:themeColor="text1"/>
        </w:rPr>
        <w:t xml:space="preserve">, E., Lagerberg, T. V., Andreassen, O. A., </w:t>
      </w:r>
      <w:proofErr w:type="spellStart"/>
      <w:r w:rsidRPr="0073153C">
        <w:rPr>
          <w:rFonts w:ascii="Times" w:hAnsi="Times"/>
          <w:color w:val="000000" w:themeColor="text1"/>
        </w:rPr>
        <w:t>Kroken</w:t>
      </w:r>
      <w:proofErr w:type="spellEnd"/>
      <w:r w:rsidRPr="0073153C">
        <w:rPr>
          <w:rFonts w:ascii="Times" w:hAnsi="Times"/>
          <w:color w:val="000000" w:themeColor="text1"/>
        </w:rPr>
        <w:t xml:space="preserve">, R. A., Joa, I., </w:t>
      </w:r>
      <w:proofErr w:type="spellStart"/>
      <w:r w:rsidRPr="0073153C">
        <w:rPr>
          <w:rFonts w:ascii="Times" w:hAnsi="Times"/>
          <w:color w:val="000000" w:themeColor="text1"/>
        </w:rPr>
        <w:t>ten</w:t>
      </w:r>
      <w:proofErr w:type="spellEnd"/>
      <w:r w:rsidRPr="0073153C">
        <w:rPr>
          <w:rFonts w:ascii="Times" w:hAnsi="Times"/>
          <w:color w:val="000000" w:themeColor="text1"/>
        </w:rPr>
        <w:t xml:space="preserve"> </w:t>
      </w:r>
      <w:proofErr w:type="spellStart"/>
      <w:r w:rsidRPr="0073153C">
        <w:rPr>
          <w:rFonts w:ascii="Times" w:hAnsi="Times"/>
          <w:color w:val="000000" w:themeColor="text1"/>
        </w:rPr>
        <w:t>Velden</w:t>
      </w:r>
      <w:proofErr w:type="spellEnd"/>
      <w:r w:rsidRPr="0073153C">
        <w:rPr>
          <w:rFonts w:ascii="Times" w:hAnsi="Times"/>
          <w:color w:val="000000" w:themeColor="text1"/>
        </w:rPr>
        <w:t xml:space="preserve"> Hegelstad, W., &amp; </w:t>
      </w:r>
      <w:proofErr w:type="spellStart"/>
      <w:r w:rsidRPr="0073153C">
        <w:rPr>
          <w:rFonts w:ascii="Times" w:hAnsi="Times"/>
          <w:color w:val="000000" w:themeColor="text1"/>
        </w:rPr>
        <w:t>Løberg</w:t>
      </w:r>
      <w:proofErr w:type="spellEnd"/>
      <w:r w:rsidRPr="0073153C">
        <w:rPr>
          <w:rFonts w:ascii="Times" w:hAnsi="Times"/>
          <w:color w:val="000000" w:themeColor="text1"/>
        </w:rPr>
        <w:t xml:space="preserve">, E.-M. (2016). </w:t>
      </w:r>
      <w:r w:rsidRPr="0073153C">
        <w:rPr>
          <w:rFonts w:ascii="Times" w:hAnsi="Times"/>
          <w:color w:val="000000" w:themeColor="text1"/>
          <w:lang w:val="en-US"/>
        </w:rPr>
        <w:t xml:space="preserve">Cannabis use is associated with 3 years earlier onset of schizophrenia spectrum disorder in a naturalistic, multi-site sample (n = 1119).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Schizophrenia Research</w:t>
      </w:r>
      <w:r w:rsidRPr="0073153C">
        <w:rPr>
          <w:rFonts w:ascii="Times" w:hAnsi="Times"/>
          <w:color w:val="000000" w:themeColor="text1"/>
          <w:lang w:val="en-US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170</w:t>
      </w:r>
      <w:r w:rsidRPr="0073153C">
        <w:rPr>
          <w:rFonts w:ascii="Times" w:hAnsi="Times"/>
          <w:color w:val="000000" w:themeColor="text1"/>
          <w:lang w:val="en-US"/>
        </w:rPr>
        <w:t xml:space="preserve">(1), 217–221. https://doi.org/10.1016/j.schres.2015.11.027 </w:t>
      </w:r>
    </w:p>
    <w:p w14:paraId="7DB8AFE6" w14:textId="7FEAF59D" w:rsidR="00DA442F" w:rsidRPr="0073153C" w:rsidRDefault="00DA442F" w:rsidP="00112F95">
      <w:pPr>
        <w:pStyle w:val="StandardWeb"/>
        <w:ind w:left="567" w:hanging="567"/>
        <w:rPr>
          <w:rFonts w:ascii="Times" w:hAnsi="Times"/>
          <w:color w:val="000000" w:themeColor="text1"/>
          <w:lang w:val="en-US"/>
        </w:rPr>
      </w:pPr>
      <w:proofErr w:type="spellStart"/>
      <w:r w:rsidRPr="0073153C">
        <w:rPr>
          <w:rFonts w:ascii="Times" w:hAnsi="Times"/>
          <w:color w:val="000000" w:themeColor="text1"/>
          <w:lang w:val="en-US"/>
        </w:rPr>
        <w:t>Hjorthøj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C., Jamal Uddin, M., Wimberley, T., Dalsgaard, S.,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Hougaard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D.,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Børglum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A.,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Werge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T., &amp;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Nordentoft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M. (2020). M94. no evidence of associations between genetic liability for schizophrenia risk of cannabis use disorder.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Schizophrenia Bulletin</w:t>
      </w:r>
      <w:r w:rsidRPr="0073153C">
        <w:rPr>
          <w:rFonts w:ascii="Times" w:hAnsi="Times"/>
          <w:color w:val="000000" w:themeColor="text1"/>
          <w:lang w:val="en-US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46</w:t>
      </w:r>
      <w:r w:rsidRPr="0073153C">
        <w:rPr>
          <w:rFonts w:ascii="Times" w:hAnsi="Times"/>
          <w:color w:val="000000" w:themeColor="text1"/>
          <w:lang w:val="en-US"/>
        </w:rPr>
        <w:t xml:space="preserve">(Supplement_1). https://doi.org/10.1093/schbul/sbaa030.406 </w:t>
      </w:r>
    </w:p>
    <w:p w14:paraId="16AF1CE5" w14:textId="0C239816" w:rsidR="00281FC2" w:rsidRPr="0073153C" w:rsidRDefault="00950A48" w:rsidP="00112F95">
      <w:pPr>
        <w:pStyle w:val="StandardWeb"/>
        <w:ind w:left="567" w:hanging="567"/>
        <w:rPr>
          <w:rStyle w:val="IntensiveHervorhebung"/>
          <w:rFonts w:ascii="Times" w:hAnsi="Times"/>
          <w:i w:val="0"/>
          <w:iCs w:val="0"/>
          <w:color w:val="000000" w:themeColor="text1"/>
          <w:lang w:val="en-US"/>
        </w:rPr>
      </w:pPr>
      <w:proofErr w:type="spellStart"/>
      <w:r w:rsidRPr="0073153C">
        <w:rPr>
          <w:rFonts w:ascii="Times" w:hAnsi="Times"/>
          <w:color w:val="000000" w:themeColor="text1"/>
          <w:lang w:val="en-US"/>
        </w:rPr>
        <w:t>Malchow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B., Hasan, A.,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Fusar-Poli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P., Schmitt, A.,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Falkai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P., &amp; </w:t>
      </w:r>
      <w:proofErr w:type="spellStart"/>
      <w:r w:rsidRPr="0073153C">
        <w:rPr>
          <w:rFonts w:ascii="Times" w:hAnsi="Times"/>
          <w:color w:val="000000" w:themeColor="text1"/>
          <w:lang w:val="en-US"/>
        </w:rPr>
        <w:t>Wobrock</w:t>
      </w:r>
      <w:proofErr w:type="spellEnd"/>
      <w:r w:rsidRPr="0073153C">
        <w:rPr>
          <w:rFonts w:ascii="Times" w:hAnsi="Times"/>
          <w:color w:val="000000" w:themeColor="text1"/>
          <w:lang w:val="en-US"/>
        </w:rPr>
        <w:t xml:space="preserve">, T. (2012). Cannabis abuse and brain morphology in schizophrenia: A review of the available evidence.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European Archives of Psychiatry and Clinical Neuroscience</w:t>
      </w:r>
      <w:r w:rsidRPr="0073153C">
        <w:rPr>
          <w:rFonts w:ascii="Times" w:hAnsi="Times"/>
          <w:color w:val="000000" w:themeColor="text1"/>
          <w:lang w:val="en-US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263</w:t>
      </w:r>
      <w:r w:rsidRPr="0073153C">
        <w:rPr>
          <w:rFonts w:ascii="Times" w:hAnsi="Times"/>
          <w:color w:val="000000" w:themeColor="text1"/>
          <w:lang w:val="en-US"/>
        </w:rPr>
        <w:t xml:space="preserve">(1), 3–13. https://doi.org/10.1007/s00406-012-0346-3 </w:t>
      </w:r>
    </w:p>
    <w:p w14:paraId="425C7B7F" w14:textId="4C8E2CD4" w:rsidR="00281FC2" w:rsidRPr="0073153C" w:rsidRDefault="00DB3F68" w:rsidP="00112F95">
      <w:pPr>
        <w:pStyle w:val="StandardWeb"/>
        <w:ind w:left="567" w:hanging="567"/>
        <w:rPr>
          <w:rStyle w:val="IntensiveHervorhebung"/>
          <w:rFonts w:ascii="Times" w:hAnsi="Times"/>
          <w:i w:val="0"/>
          <w:iCs w:val="0"/>
          <w:color w:val="000000" w:themeColor="text1"/>
          <w:lang w:val="it-CH"/>
        </w:rPr>
      </w:pPr>
      <w:r w:rsidRPr="0073153C">
        <w:rPr>
          <w:rFonts w:ascii="Times" w:hAnsi="Times"/>
          <w:color w:val="000000" w:themeColor="text1"/>
          <w:lang w:val="it-CH"/>
        </w:rPr>
        <w:t xml:space="preserve">Marconi, A., Di Forti, M., Lewis, C. M., Murray, R. M., &amp; Vassos, E. (2016). </w:t>
      </w:r>
      <w:r w:rsidRPr="0073153C">
        <w:rPr>
          <w:rFonts w:ascii="Times" w:hAnsi="Times"/>
          <w:color w:val="000000" w:themeColor="text1"/>
          <w:lang w:val="en-US"/>
        </w:rPr>
        <w:t xml:space="preserve">Meta-analysis of the association between the level of cannabis use and risk of psychosis. </w:t>
      </w:r>
      <w:r w:rsidRPr="0073153C">
        <w:rPr>
          <w:rFonts w:ascii="Times" w:hAnsi="Times"/>
          <w:i/>
          <w:iCs/>
          <w:color w:val="000000" w:themeColor="text1"/>
          <w:lang w:val="it-CH"/>
        </w:rPr>
        <w:t>Schizophrenia Bulletin</w:t>
      </w:r>
      <w:r w:rsidRPr="0073153C">
        <w:rPr>
          <w:rFonts w:ascii="Times" w:hAnsi="Times"/>
          <w:color w:val="000000" w:themeColor="text1"/>
          <w:lang w:val="it-CH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  <w:lang w:val="it-CH"/>
        </w:rPr>
        <w:t>42</w:t>
      </w:r>
      <w:r w:rsidRPr="0073153C">
        <w:rPr>
          <w:rFonts w:ascii="Times" w:hAnsi="Times"/>
          <w:color w:val="000000" w:themeColor="text1"/>
          <w:lang w:val="it-CH"/>
        </w:rPr>
        <w:t xml:space="preserve">(5), 1262–1269. https://doi.org/10.1093/schbul/sbw003 </w:t>
      </w:r>
    </w:p>
    <w:p w14:paraId="66934A80" w14:textId="314C615E" w:rsidR="00FD24E8" w:rsidRPr="0073153C" w:rsidRDefault="00FD24E8" w:rsidP="00112F95">
      <w:pPr>
        <w:pStyle w:val="StandardWeb"/>
        <w:ind w:left="567" w:hanging="567"/>
        <w:rPr>
          <w:rFonts w:ascii="Times" w:hAnsi="Times"/>
          <w:color w:val="000000" w:themeColor="text1"/>
          <w:lang w:val="en-US"/>
        </w:rPr>
      </w:pPr>
      <w:r w:rsidRPr="0073153C">
        <w:rPr>
          <w:rFonts w:ascii="Times" w:hAnsi="Times"/>
          <w:color w:val="000000" w:themeColor="text1"/>
          <w:lang w:val="it-CH"/>
        </w:rPr>
        <w:t xml:space="preserve">Ortiz-Medina, M. B., Perea, M., Torales, J., Ventriglio, A., Vitrani, G., Aguilar, L., &amp; Roncero, C. (2018). </w:t>
      </w:r>
      <w:r w:rsidRPr="0073153C">
        <w:rPr>
          <w:rFonts w:ascii="Times" w:hAnsi="Times"/>
          <w:color w:val="000000" w:themeColor="text1"/>
          <w:lang w:val="en-US"/>
        </w:rPr>
        <w:t xml:space="preserve">Cannabis consumption and psychosis or schizophrenia development.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International Journal of Social Psychiatry</w:t>
      </w:r>
      <w:r w:rsidRPr="0073153C">
        <w:rPr>
          <w:rFonts w:ascii="Times" w:hAnsi="Times"/>
          <w:color w:val="000000" w:themeColor="text1"/>
          <w:lang w:val="en-US"/>
        </w:rPr>
        <w:t xml:space="preserve">, </w:t>
      </w:r>
      <w:r w:rsidRPr="0073153C">
        <w:rPr>
          <w:rFonts w:ascii="Times" w:hAnsi="Times"/>
          <w:i/>
          <w:iCs/>
          <w:color w:val="000000" w:themeColor="text1"/>
          <w:lang w:val="en-US"/>
        </w:rPr>
        <w:t>64</w:t>
      </w:r>
      <w:r w:rsidRPr="0073153C">
        <w:rPr>
          <w:rFonts w:ascii="Times" w:hAnsi="Times"/>
          <w:color w:val="000000" w:themeColor="text1"/>
          <w:lang w:val="en-US"/>
        </w:rPr>
        <w:t xml:space="preserve">(7), 690–704. https://doi.org/10.1177/0020764018801690 </w:t>
      </w:r>
    </w:p>
    <w:p w14:paraId="4B5CF634" w14:textId="77777777" w:rsidR="00112F95" w:rsidRPr="00112F95" w:rsidRDefault="008572AC" w:rsidP="00112F95">
      <w:pPr>
        <w:pStyle w:val="StandardWeb"/>
        <w:ind w:left="567" w:hanging="567"/>
        <w:rPr>
          <w:rFonts w:ascii="Times" w:hAnsi="Times"/>
          <w:color w:val="000000" w:themeColor="text1"/>
        </w:rPr>
      </w:pPr>
      <w:r w:rsidRPr="0073153C">
        <w:rPr>
          <w:rFonts w:ascii="Times" w:hAnsi="Times"/>
          <w:color w:val="000000" w:themeColor="text1"/>
        </w:rPr>
        <w:t xml:space="preserve">Roser, P. (2019). Cannabis und </w:t>
      </w:r>
      <w:proofErr w:type="spellStart"/>
      <w:r w:rsidRPr="0073153C">
        <w:rPr>
          <w:rFonts w:ascii="Times" w:hAnsi="Times"/>
          <w:color w:val="000000" w:themeColor="text1"/>
        </w:rPr>
        <w:t>schizophrenie</w:t>
      </w:r>
      <w:proofErr w:type="spellEnd"/>
      <w:r w:rsidRPr="0073153C">
        <w:rPr>
          <w:rFonts w:ascii="Times" w:hAnsi="Times"/>
          <w:color w:val="000000" w:themeColor="text1"/>
        </w:rPr>
        <w:t xml:space="preserve"> – Risikofaktoren, Diagnostische Einordnung und Auswirkungen auf Verlauf und </w:t>
      </w:r>
      <w:proofErr w:type="spellStart"/>
      <w:r w:rsidRPr="0073153C">
        <w:rPr>
          <w:rFonts w:ascii="Times" w:hAnsi="Times"/>
          <w:color w:val="000000" w:themeColor="text1"/>
        </w:rPr>
        <w:t>prognose</w:t>
      </w:r>
      <w:proofErr w:type="spellEnd"/>
      <w:r w:rsidRPr="0073153C">
        <w:rPr>
          <w:rFonts w:ascii="Times" w:hAnsi="Times"/>
          <w:color w:val="000000" w:themeColor="text1"/>
        </w:rPr>
        <w:t xml:space="preserve">. </w:t>
      </w:r>
      <w:r w:rsidRPr="00112F95">
        <w:rPr>
          <w:rFonts w:ascii="Times" w:hAnsi="Times"/>
          <w:i/>
          <w:iCs/>
          <w:color w:val="000000" w:themeColor="text1"/>
        </w:rPr>
        <w:t>Forensische Psychiatrie, Psychologie, Kriminologie</w:t>
      </w:r>
      <w:r w:rsidRPr="00112F95">
        <w:rPr>
          <w:rFonts w:ascii="Times" w:hAnsi="Times"/>
          <w:color w:val="000000" w:themeColor="text1"/>
        </w:rPr>
        <w:t xml:space="preserve">, </w:t>
      </w:r>
      <w:r w:rsidRPr="00112F95">
        <w:rPr>
          <w:rFonts w:ascii="Times" w:hAnsi="Times"/>
          <w:i/>
          <w:iCs/>
          <w:color w:val="000000" w:themeColor="text1"/>
        </w:rPr>
        <w:t>13</w:t>
      </w:r>
      <w:r w:rsidRPr="00112F95">
        <w:rPr>
          <w:rFonts w:ascii="Times" w:hAnsi="Times"/>
          <w:color w:val="000000" w:themeColor="text1"/>
        </w:rPr>
        <w:t xml:space="preserve">(3), 225–232. </w:t>
      </w:r>
      <w:hyperlink r:id="rId12" w:history="1">
        <w:r w:rsidRPr="00112F95">
          <w:rPr>
            <w:rStyle w:val="Hyperlink"/>
            <w:rFonts w:ascii="Times" w:hAnsi="Times"/>
            <w:color w:val="000000" w:themeColor="text1"/>
          </w:rPr>
          <w:t>https://doi.org/10.1007/s11757-019-00543-6</w:t>
        </w:r>
      </w:hyperlink>
      <w:r w:rsidRPr="00112F95">
        <w:rPr>
          <w:rFonts w:ascii="Times" w:hAnsi="Times"/>
          <w:color w:val="000000" w:themeColor="text1"/>
        </w:rPr>
        <w:t xml:space="preserve"> </w:t>
      </w:r>
    </w:p>
    <w:p w14:paraId="5A4029C4" w14:textId="4871A893" w:rsidR="008572AC" w:rsidRPr="00112F95" w:rsidRDefault="0073153C" w:rsidP="00112F95">
      <w:pPr>
        <w:pStyle w:val="StandardWeb"/>
        <w:jc w:val="center"/>
        <w:rPr>
          <w:rFonts w:ascii="Times" w:hAnsi="Times"/>
          <w:color w:val="000000" w:themeColor="text1"/>
        </w:rPr>
      </w:pPr>
      <w:r w:rsidRPr="00112F95">
        <w:rPr>
          <w:rFonts w:ascii="Times" w:hAnsi="Times"/>
          <w:color w:val="000000" w:themeColor="text1"/>
        </w:rPr>
        <w:t>Abbildungsverzeichnis</w:t>
      </w:r>
    </w:p>
    <w:p w14:paraId="55A5ECB6" w14:textId="10E8A238" w:rsidR="0073153C" w:rsidRPr="0073153C" w:rsidRDefault="0073153C" w:rsidP="00112F95">
      <w:pPr>
        <w:pStyle w:val="StandardWeb"/>
        <w:ind w:left="567" w:hanging="567"/>
        <w:rPr>
          <w:rFonts w:ascii="Times" w:hAnsi="Times"/>
          <w:color w:val="000000" w:themeColor="text1"/>
        </w:rPr>
      </w:pPr>
      <w:r w:rsidRPr="0073153C">
        <w:rPr>
          <w:rFonts w:ascii="Times" w:hAnsi="Times"/>
          <w:color w:val="000000" w:themeColor="text1"/>
        </w:rPr>
        <w:t>Abbildung 1</w:t>
      </w:r>
      <w:r w:rsidR="00112F95">
        <w:rPr>
          <w:rFonts w:ascii="Times" w:hAnsi="Times"/>
          <w:color w:val="000000" w:themeColor="text1"/>
        </w:rPr>
        <w:t>.</w:t>
      </w:r>
      <w:r w:rsidRPr="0073153C">
        <w:rPr>
          <w:rFonts w:ascii="Times" w:hAnsi="Times"/>
          <w:color w:val="000000" w:themeColor="text1"/>
        </w:rPr>
        <w:t xml:space="preserve"> Darstellung der Demographischen Merkmale und der klinischen Merkmale</w:t>
      </w:r>
    </w:p>
    <w:p w14:paraId="3366DDC2" w14:textId="77777777" w:rsidR="00112F95" w:rsidRPr="008934C7" w:rsidRDefault="0073153C" w:rsidP="00112F95">
      <w:pPr>
        <w:pStyle w:val="berschrift1"/>
        <w:jc w:val="center"/>
        <w:rPr>
          <w:rFonts w:ascii="Times" w:hAnsi="Times"/>
          <w:color w:val="000000" w:themeColor="text1"/>
          <w:sz w:val="24"/>
          <w:szCs w:val="24"/>
        </w:rPr>
      </w:pPr>
      <w:bookmarkStart w:id="13" w:name="_Toc116642126"/>
      <w:r w:rsidRPr="008934C7">
        <w:rPr>
          <w:rFonts w:ascii="Times" w:hAnsi="Times"/>
          <w:color w:val="000000" w:themeColor="text1"/>
          <w:sz w:val="24"/>
          <w:szCs w:val="24"/>
        </w:rPr>
        <w:t>Tabellenverzeichnis</w:t>
      </w:r>
      <w:bookmarkEnd w:id="13"/>
    </w:p>
    <w:p w14:paraId="68A1F776" w14:textId="7E7219A3" w:rsidR="0073153C" w:rsidRPr="00112F95" w:rsidRDefault="0073153C" w:rsidP="00112F95">
      <w:pPr>
        <w:pStyle w:val="berschrift1"/>
        <w:rPr>
          <w:rFonts w:ascii="Times" w:hAnsi="Times"/>
          <w:color w:val="000000" w:themeColor="text1"/>
          <w:sz w:val="24"/>
          <w:szCs w:val="24"/>
        </w:rPr>
      </w:pPr>
      <w:bookmarkStart w:id="14" w:name="_Toc116642127"/>
      <w:r w:rsidRPr="0073153C">
        <w:rPr>
          <w:rFonts w:ascii="Times" w:hAnsi="Times"/>
          <w:color w:val="000000" w:themeColor="text1"/>
          <w:sz w:val="24"/>
          <w:szCs w:val="24"/>
        </w:rPr>
        <w:t xml:space="preserve">Tabelle 1. </w:t>
      </w:r>
      <w:r w:rsidR="00112F95">
        <w:rPr>
          <w:rFonts w:ascii="Times" w:hAnsi="Times"/>
          <w:color w:val="000000" w:themeColor="text1"/>
          <w:sz w:val="24"/>
          <w:szCs w:val="24"/>
        </w:rPr>
        <w:t>Darstellung k</w:t>
      </w:r>
      <w:r w:rsidRPr="0073153C">
        <w:rPr>
          <w:rFonts w:ascii="Times" w:hAnsi="Times"/>
          <w:color w:val="000000" w:themeColor="text1"/>
          <w:sz w:val="24"/>
          <w:szCs w:val="24"/>
        </w:rPr>
        <w:t>linisches Messverfahren</w:t>
      </w:r>
      <w:bookmarkEnd w:id="14"/>
      <w:r w:rsidRPr="0073153C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56ACBCDC" w14:textId="5467F259" w:rsidR="0073153C" w:rsidRPr="0073153C" w:rsidRDefault="0073153C" w:rsidP="00112F95">
      <w:pPr>
        <w:pStyle w:val="StandardWeb"/>
        <w:ind w:left="567" w:hanging="567"/>
        <w:rPr>
          <w:rFonts w:ascii="Times" w:hAnsi="Times"/>
          <w:color w:val="000000" w:themeColor="text1"/>
        </w:rPr>
      </w:pPr>
      <w:r w:rsidRPr="0073153C">
        <w:rPr>
          <w:rFonts w:ascii="Times" w:hAnsi="Times"/>
          <w:color w:val="000000" w:themeColor="text1"/>
        </w:rPr>
        <w:t>Tabelle 2.</w:t>
      </w:r>
      <w:r w:rsidR="00112F95">
        <w:rPr>
          <w:rFonts w:ascii="Times" w:hAnsi="Times"/>
          <w:color w:val="000000" w:themeColor="text1"/>
        </w:rPr>
        <w:t xml:space="preserve"> Darstellung </w:t>
      </w:r>
      <w:proofErr w:type="spellStart"/>
      <w:r w:rsidR="00112F95">
        <w:rPr>
          <w:rFonts w:ascii="Times" w:hAnsi="Times"/>
          <w:color w:val="000000" w:themeColor="text1"/>
        </w:rPr>
        <w:t>Bivariate</w:t>
      </w:r>
      <w:proofErr w:type="spellEnd"/>
      <w:r w:rsidR="00112F95">
        <w:rPr>
          <w:rFonts w:ascii="Times" w:hAnsi="Times"/>
          <w:color w:val="000000" w:themeColor="text1"/>
        </w:rPr>
        <w:t xml:space="preserve"> Korrelation (</w:t>
      </w:r>
      <w:proofErr w:type="spellStart"/>
      <w:r w:rsidRPr="0073153C">
        <w:rPr>
          <w:rFonts w:ascii="Times" w:hAnsi="Times"/>
          <w:color w:val="000000" w:themeColor="text1"/>
        </w:rPr>
        <w:t>Pearson’s</w:t>
      </w:r>
      <w:proofErr w:type="spellEnd"/>
      <w:r w:rsidRPr="0073153C">
        <w:rPr>
          <w:rFonts w:ascii="Times" w:hAnsi="Times"/>
          <w:color w:val="000000" w:themeColor="text1"/>
        </w:rPr>
        <w:t xml:space="preserve"> </w:t>
      </w:r>
      <w:r w:rsidR="00112F95">
        <w:rPr>
          <w:rFonts w:ascii="Times" w:hAnsi="Times"/>
          <w:color w:val="000000" w:themeColor="text1"/>
        </w:rPr>
        <w:t>r)</w:t>
      </w:r>
      <w:r w:rsidRPr="0073153C">
        <w:rPr>
          <w:rFonts w:ascii="Times" w:hAnsi="Times"/>
          <w:color w:val="000000" w:themeColor="text1"/>
        </w:rPr>
        <w:t xml:space="preserve"> </w:t>
      </w:r>
    </w:p>
    <w:p w14:paraId="39F5EE8E" w14:textId="77777777" w:rsidR="00281FC2" w:rsidRPr="0073153C" w:rsidRDefault="00281FC2" w:rsidP="008572AC">
      <w:pPr>
        <w:rPr>
          <w:rStyle w:val="IntensiveHervorhebung"/>
          <w:i w:val="0"/>
          <w:iCs w:val="0"/>
          <w:color w:val="auto"/>
        </w:rPr>
      </w:pPr>
    </w:p>
    <w:p w14:paraId="1B423996" w14:textId="77777777" w:rsidR="009C135A" w:rsidRPr="0073153C" w:rsidRDefault="009C135A" w:rsidP="008572AC">
      <w:pPr>
        <w:rPr>
          <w:rStyle w:val="IntensiveHervorhebung"/>
          <w:i w:val="0"/>
          <w:iCs w:val="0"/>
          <w:color w:val="auto"/>
        </w:rPr>
      </w:pPr>
    </w:p>
    <w:sectPr w:rsidR="009C135A" w:rsidRPr="0073153C" w:rsidSect="000678A6"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B4AF" w14:textId="77777777" w:rsidR="00635332" w:rsidRDefault="00635332" w:rsidP="00A5573F">
      <w:r>
        <w:separator/>
      </w:r>
    </w:p>
  </w:endnote>
  <w:endnote w:type="continuationSeparator" w:id="0">
    <w:p w14:paraId="700F2E4A" w14:textId="77777777" w:rsidR="00635332" w:rsidRDefault="00635332" w:rsidP="00A5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2081406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DA5DF8" w14:textId="477ABA14" w:rsidR="009C135A" w:rsidRDefault="009C135A" w:rsidP="00064BF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678A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759769A" w14:textId="3F52D23F" w:rsidR="0052370F" w:rsidRDefault="0052370F" w:rsidP="009C135A">
    <w:pPr>
      <w:pStyle w:val="Fuzeile"/>
      <w:ind w:right="360"/>
      <w:rPr>
        <w:rStyle w:val="Seitenzahl"/>
      </w:rPr>
    </w:pPr>
  </w:p>
  <w:p w14:paraId="282039E3" w14:textId="77777777" w:rsidR="0052370F" w:rsidRDefault="0052370F" w:rsidP="00A557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8988324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10E23F" w14:textId="00AE543A" w:rsidR="00064BF3" w:rsidRDefault="00064BF3" w:rsidP="00591E8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742A4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D5D2713" w14:textId="6626893B" w:rsidR="0052370F" w:rsidRDefault="0052370F" w:rsidP="009C135A">
    <w:pPr>
      <w:pStyle w:val="Fuzeile"/>
      <w:ind w:right="360"/>
    </w:pPr>
    <w:r>
      <w:t>HS22</w:t>
    </w:r>
    <w:r>
      <w:ptab w:relativeTo="margin" w:alignment="center" w:leader="none"/>
    </w:r>
    <w:r>
      <w:t>Sarah Bauer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3D39" w14:textId="77777777" w:rsidR="00635332" w:rsidRDefault="00635332" w:rsidP="00A5573F">
      <w:r>
        <w:separator/>
      </w:r>
    </w:p>
  </w:footnote>
  <w:footnote w:type="continuationSeparator" w:id="0">
    <w:p w14:paraId="0390A20B" w14:textId="77777777" w:rsidR="00635332" w:rsidRDefault="00635332" w:rsidP="00A5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3FAE" w14:textId="619120E8" w:rsidR="00F33A24" w:rsidRPr="00F33A24" w:rsidRDefault="00F33A24" w:rsidP="00F33A24">
    <w:r w:rsidRPr="00F33A24">
      <w:t>Cannabiskonsum und die Assoziierung mit Schizophrenie</w:t>
    </w:r>
  </w:p>
  <w:p w14:paraId="34544D6B" w14:textId="2C6609C2" w:rsidR="00F33A24" w:rsidRDefault="00F33A24">
    <w:pPr>
      <w:pStyle w:val="Kopfzeile"/>
    </w:pPr>
  </w:p>
  <w:p w14:paraId="7A2ECB8D" w14:textId="77777777" w:rsidR="00F33A24" w:rsidRDefault="00F33A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F"/>
    <w:rsid w:val="00032CF3"/>
    <w:rsid w:val="000403C8"/>
    <w:rsid w:val="000455E9"/>
    <w:rsid w:val="00062837"/>
    <w:rsid w:val="00064BF3"/>
    <w:rsid w:val="000662D2"/>
    <w:rsid w:val="000678A6"/>
    <w:rsid w:val="00076850"/>
    <w:rsid w:val="000A7BF3"/>
    <w:rsid w:val="000C0778"/>
    <w:rsid w:val="00102847"/>
    <w:rsid w:val="00107F9E"/>
    <w:rsid w:val="00112F95"/>
    <w:rsid w:val="0012791B"/>
    <w:rsid w:val="00127DD9"/>
    <w:rsid w:val="00136830"/>
    <w:rsid w:val="00163422"/>
    <w:rsid w:val="0017783D"/>
    <w:rsid w:val="00182DC0"/>
    <w:rsid w:val="001A4FBF"/>
    <w:rsid w:val="001A7EE3"/>
    <w:rsid w:val="001A7F6C"/>
    <w:rsid w:val="001B53C8"/>
    <w:rsid w:val="001B5B21"/>
    <w:rsid w:val="001D6C99"/>
    <w:rsid w:val="001E7F6D"/>
    <w:rsid w:val="0021796A"/>
    <w:rsid w:val="00241E9A"/>
    <w:rsid w:val="00244273"/>
    <w:rsid w:val="00251C31"/>
    <w:rsid w:val="0025299D"/>
    <w:rsid w:val="0026228C"/>
    <w:rsid w:val="00281FC2"/>
    <w:rsid w:val="0028789E"/>
    <w:rsid w:val="00290740"/>
    <w:rsid w:val="002C4568"/>
    <w:rsid w:val="002D621D"/>
    <w:rsid w:val="002E3353"/>
    <w:rsid w:val="002E6699"/>
    <w:rsid w:val="002F273D"/>
    <w:rsid w:val="002F4730"/>
    <w:rsid w:val="00325D7A"/>
    <w:rsid w:val="003334E5"/>
    <w:rsid w:val="00344204"/>
    <w:rsid w:val="00375CE6"/>
    <w:rsid w:val="00395873"/>
    <w:rsid w:val="003A4693"/>
    <w:rsid w:val="003A58EC"/>
    <w:rsid w:val="003B25E1"/>
    <w:rsid w:val="003F47EB"/>
    <w:rsid w:val="00406084"/>
    <w:rsid w:val="004441C7"/>
    <w:rsid w:val="00476F00"/>
    <w:rsid w:val="004E3DD7"/>
    <w:rsid w:val="005002E4"/>
    <w:rsid w:val="005111FA"/>
    <w:rsid w:val="00517785"/>
    <w:rsid w:val="0052041F"/>
    <w:rsid w:val="00522E22"/>
    <w:rsid w:val="0052370F"/>
    <w:rsid w:val="005274D0"/>
    <w:rsid w:val="005322D3"/>
    <w:rsid w:val="00544BCC"/>
    <w:rsid w:val="00553C39"/>
    <w:rsid w:val="00561E33"/>
    <w:rsid w:val="0058565D"/>
    <w:rsid w:val="00596AEC"/>
    <w:rsid w:val="005A0F07"/>
    <w:rsid w:val="005A430E"/>
    <w:rsid w:val="005A51BF"/>
    <w:rsid w:val="005D3AE3"/>
    <w:rsid w:val="005D5417"/>
    <w:rsid w:val="0060260E"/>
    <w:rsid w:val="00615630"/>
    <w:rsid w:val="00622B59"/>
    <w:rsid w:val="00626B46"/>
    <w:rsid w:val="00627CFE"/>
    <w:rsid w:val="00635332"/>
    <w:rsid w:val="00646A95"/>
    <w:rsid w:val="00656D32"/>
    <w:rsid w:val="00664DAF"/>
    <w:rsid w:val="006726C5"/>
    <w:rsid w:val="00675349"/>
    <w:rsid w:val="00680A1E"/>
    <w:rsid w:val="00690822"/>
    <w:rsid w:val="006954AE"/>
    <w:rsid w:val="006A01FA"/>
    <w:rsid w:val="006A4B78"/>
    <w:rsid w:val="006A6225"/>
    <w:rsid w:val="006A73B0"/>
    <w:rsid w:val="006B7F3C"/>
    <w:rsid w:val="006C7DEA"/>
    <w:rsid w:val="006D2B85"/>
    <w:rsid w:val="006F210D"/>
    <w:rsid w:val="006F573A"/>
    <w:rsid w:val="00700A2C"/>
    <w:rsid w:val="0070384F"/>
    <w:rsid w:val="0073153C"/>
    <w:rsid w:val="00737BA2"/>
    <w:rsid w:val="007458FB"/>
    <w:rsid w:val="00766946"/>
    <w:rsid w:val="007718A3"/>
    <w:rsid w:val="00790DA8"/>
    <w:rsid w:val="00796E7A"/>
    <w:rsid w:val="007A0D12"/>
    <w:rsid w:val="007A2A60"/>
    <w:rsid w:val="007B2DE4"/>
    <w:rsid w:val="007C0793"/>
    <w:rsid w:val="007C0F71"/>
    <w:rsid w:val="007C7E80"/>
    <w:rsid w:val="007D780D"/>
    <w:rsid w:val="007D7CC7"/>
    <w:rsid w:val="00804898"/>
    <w:rsid w:val="00807094"/>
    <w:rsid w:val="0081136B"/>
    <w:rsid w:val="008152DE"/>
    <w:rsid w:val="00826090"/>
    <w:rsid w:val="008572AC"/>
    <w:rsid w:val="00861C34"/>
    <w:rsid w:val="008742A4"/>
    <w:rsid w:val="008806E7"/>
    <w:rsid w:val="008814DE"/>
    <w:rsid w:val="00885306"/>
    <w:rsid w:val="008908B0"/>
    <w:rsid w:val="008934C7"/>
    <w:rsid w:val="008C7743"/>
    <w:rsid w:val="008D1532"/>
    <w:rsid w:val="008D40B0"/>
    <w:rsid w:val="008E0136"/>
    <w:rsid w:val="008E256C"/>
    <w:rsid w:val="00923ECE"/>
    <w:rsid w:val="00924462"/>
    <w:rsid w:val="009342A8"/>
    <w:rsid w:val="00950A48"/>
    <w:rsid w:val="00950CF5"/>
    <w:rsid w:val="00953867"/>
    <w:rsid w:val="00960CDE"/>
    <w:rsid w:val="009853D6"/>
    <w:rsid w:val="009872AB"/>
    <w:rsid w:val="00992A59"/>
    <w:rsid w:val="009B1608"/>
    <w:rsid w:val="009C135A"/>
    <w:rsid w:val="009D102A"/>
    <w:rsid w:val="009F10EB"/>
    <w:rsid w:val="00A416E8"/>
    <w:rsid w:val="00A42D1D"/>
    <w:rsid w:val="00A43354"/>
    <w:rsid w:val="00A5573F"/>
    <w:rsid w:val="00A5599B"/>
    <w:rsid w:val="00A605CC"/>
    <w:rsid w:val="00A66773"/>
    <w:rsid w:val="00A80111"/>
    <w:rsid w:val="00A80BEB"/>
    <w:rsid w:val="00A817EB"/>
    <w:rsid w:val="00AA746B"/>
    <w:rsid w:val="00AB6252"/>
    <w:rsid w:val="00AB6591"/>
    <w:rsid w:val="00AC53A6"/>
    <w:rsid w:val="00AF664E"/>
    <w:rsid w:val="00B01B89"/>
    <w:rsid w:val="00B01CB3"/>
    <w:rsid w:val="00B12F76"/>
    <w:rsid w:val="00B12F7F"/>
    <w:rsid w:val="00B30E3B"/>
    <w:rsid w:val="00B34CFB"/>
    <w:rsid w:val="00B36776"/>
    <w:rsid w:val="00B62608"/>
    <w:rsid w:val="00B83785"/>
    <w:rsid w:val="00BD253C"/>
    <w:rsid w:val="00BD26FE"/>
    <w:rsid w:val="00BE640F"/>
    <w:rsid w:val="00C27D02"/>
    <w:rsid w:val="00C437F0"/>
    <w:rsid w:val="00C47F7E"/>
    <w:rsid w:val="00C609A7"/>
    <w:rsid w:val="00C635D4"/>
    <w:rsid w:val="00C82915"/>
    <w:rsid w:val="00CB2AEB"/>
    <w:rsid w:val="00CB500B"/>
    <w:rsid w:val="00CC120C"/>
    <w:rsid w:val="00CD327D"/>
    <w:rsid w:val="00CE389B"/>
    <w:rsid w:val="00CF434F"/>
    <w:rsid w:val="00D30C76"/>
    <w:rsid w:val="00D35E3A"/>
    <w:rsid w:val="00D56643"/>
    <w:rsid w:val="00D9230A"/>
    <w:rsid w:val="00D94E78"/>
    <w:rsid w:val="00DA2FB1"/>
    <w:rsid w:val="00DA442F"/>
    <w:rsid w:val="00DA593C"/>
    <w:rsid w:val="00DB3F68"/>
    <w:rsid w:val="00E172FB"/>
    <w:rsid w:val="00E44442"/>
    <w:rsid w:val="00E4475B"/>
    <w:rsid w:val="00E45CDE"/>
    <w:rsid w:val="00E53600"/>
    <w:rsid w:val="00E70678"/>
    <w:rsid w:val="00EB70B8"/>
    <w:rsid w:val="00ED26C3"/>
    <w:rsid w:val="00F05E1D"/>
    <w:rsid w:val="00F100FD"/>
    <w:rsid w:val="00F33A24"/>
    <w:rsid w:val="00F360E4"/>
    <w:rsid w:val="00F473EA"/>
    <w:rsid w:val="00F5048E"/>
    <w:rsid w:val="00F5575A"/>
    <w:rsid w:val="00F66A98"/>
    <w:rsid w:val="00F80858"/>
    <w:rsid w:val="00FD24E8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599CD"/>
  <w15:chartTrackingRefBased/>
  <w15:docId w15:val="{6E396095-A97C-EA40-9758-F00737E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73F"/>
    <w:rPr>
      <w:rFonts w:ascii="Times" w:hAnsi="Tim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3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1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37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370F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523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70F"/>
  </w:style>
  <w:style w:type="character" w:styleId="Seitenzahl">
    <w:name w:val="page number"/>
    <w:basedOn w:val="Absatz-Standardschriftart"/>
    <w:uiPriority w:val="99"/>
    <w:semiHidden/>
    <w:unhideWhenUsed/>
    <w:rsid w:val="0052370F"/>
  </w:style>
  <w:style w:type="paragraph" w:styleId="Kopfzeile">
    <w:name w:val="header"/>
    <w:basedOn w:val="Standard"/>
    <w:link w:val="KopfzeileZchn"/>
    <w:uiPriority w:val="99"/>
    <w:unhideWhenUsed/>
    <w:rsid w:val="00523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70F"/>
  </w:style>
  <w:style w:type="character" w:customStyle="1" w:styleId="berschrift1Zchn">
    <w:name w:val="Überschrift 1 Zchn"/>
    <w:basedOn w:val="Absatz-Standardschriftart"/>
    <w:link w:val="berschrift1"/>
    <w:uiPriority w:val="9"/>
    <w:rsid w:val="00523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vorlage1">
    <w:name w:val="Formatvorlage1"/>
    <w:basedOn w:val="Standard"/>
    <w:qFormat/>
    <w:rsid w:val="0052370F"/>
    <w:pPr>
      <w:tabs>
        <w:tab w:val="left" w:pos="2669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5237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3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haltsverzeichnis">
    <w:name w:val="Inhaltsverzeichnis"/>
    <w:basedOn w:val="Standard"/>
    <w:autoRedefine/>
    <w:qFormat/>
    <w:rsid w:val="00A817EB"/>
    <w:pPr>
      <w:spacing w:line="360" w:lineRule="auto"/>
    </w:pPr>
  </w:style>
  <w:style w:type="paragraph" w:customStyle="1" w:styleId="Formatvorlage2">
    <w:name w:val="Formatvorlage2"/>
    <w:basedOn w:val="Inhaltsverzeichnis"/>
    <w:qFormat/>
    <w:rsid w:val="0052370F"/>
    <w:pPr>
      <w:tabs>
        <w:tab w:val="left" w:pos="2669"/>
      </w:tabs>
    </w:pPr>
  </w:style>
  <w:style w:type="paragraph" w:customStyle="1" w:styleId="Formatvorlage3">
    <w:name w:val="Formatvorlage3"/>
    <w:basedOn w:val="Inhaltsverzeichnis"/>
    <w:next w:val="Inhaltsverzeichnis"/>
    <w:autoRedefine/>
    <w:qFormat/>
    <w:rsid w:val="0052370F"/>
  </w:style>
  <w:style w:type="character" w:styleId="IntensiveHervorhebung">
    <w:name w:val="Intense Emphasis"/>
    <w:basedOn w:val="Absatz-Standardschriftart"/>
    <w:uiPriority w:val="21"/>
    <w:qFormat/>
    <w:rsid w:val="000455E9"/>
    <w:rPr>
      <w:i/>
      <w:iCs/>
      <w:color w:val="4472C4" w:themeColor="accent1"/>
    </w:rPr>
  </w:style>
  <w:style w:type="paragraph" w:styleId="StandardWeb">
    <w:name w:val="Normal (Web)"/>
    <w:basedOn w:val="Standard"/>
    <w:uiPriority w:val="99"/>
    <w:unhideWhenUsed/>
    <w:rsid w:val="00281F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C456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135A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C135A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C135A"/>
    <w:rPr>
      <w:rFonts w:asciiTheme="minorHAnsi" w:hAnsiTheme="minorHAnsi"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C135A"/>
    <w:rPr>
      <w:rFonts w:asciiTheme="minorHAnsi" w:hAnsiTheme="minorHAnsi" w:cstheme="minorHAnsi"/>
      <w:sz w:val="22"/>
      <w:szCs w:val="22"/>
    </w:rPr>
  </w:style>
  <w:style w:type="paragraph" w:styleId="KeinLeerraum">
    <w:name w:val="No Spacing"/>
    <w:link w:val="KeinLeerraumZchn"/>
    <w:uiPriority w:val="1"/>
    <w:qFormat/>
    <w:rsid w:val="000678A6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678A6"/>
    <w:rPr>
      <w:rFonts w:eastAsiaTheme="minorEastAsia"/>
      <w:sz w:val="22"/>
      <w:szCs w:val="22"/>
      <w:lang w:val="en-US" w:eastAsia="zh-CN"/>
    </w:rPr>
  </w:style>
  <w:style w:type="table" w:styleId="Tabellenraster">
    <w:name w:val="Table Grid"/>
    <w:basedOn w:val="NormaleTabelle"/>
    <w:uiPriority w:val="39"/>
    <w:rsid w:val="00A4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B53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53C3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1757-019-00543-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36/bmj.e53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12:10.1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E7C57-AAD4-4D23-A0FC-5746DBF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Cannabiskonsum und die Assoziierung mit Schizophrenie</vt:lpstr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Cannabiskonsum und die Assoziierung mit Schizophrenie</dc:title>
  <dc:subject/>
  <dc:creator>Veranstaltung:</dc:creator>
  <cp:keywords/>
  <dc:description/>
  <cp:lastModifiedBy>Müller Daniel, UPD Bern</cp:lastModifiedBy>
  <cp:revision>2</cp:revision>
  <dcterms:created xsi:type="dcterms:W3CDTF">2022-11-29T13:22:00Z</dcterms:created>
  <dcterms:modified xsi:type="dcterms:W3CDTF">2022-11-29T13:22:00Z</dcterms:modified>
</cp:coreProperties>
</file>